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D9" w:rsidRPr="00F310D2" w:rsidRDefault="00D014D9">
      <w:pPr>
        <w:widowControl w:val="0"/>
        <w:autoSpaceDE w:val="0"/>
        <w:autoSpaceDN w:val="0"/>
        <w:adjustRightInd w:val="0"/>
        <w:spacing w:after="120"/>
        <w:jc w:val="center"/>
        <w:rPr>
          <w:rFonts w:ascii="Arial" w:hAnsi="Arial" w:cs="Arial"/>
          <w:b/>
          <w:bCs/>
          <w:color w:val="000000"/>
          <w:sz w:val="22"/>
          <w:szCs w:val="22"/>
          <w:u w:val="single"/>
        </w:rPr>
      </w:pPr>
      <w:r w:rsidRPr="00F310D2">
        <w:rPr>
          <w:rFonts w:ascii="Arial" w:hAnsi="Arial" w:cs="Arial"/>
          <w:b/>
          <w:bCs/>
          <w:color w:val="000000"/>
          <w:sz w:val="22"/>
          <w:szCs w:val="22"/>
          <w:u w:val="single"/>
        </w:rPr>
        <w:t>ORGANISATIONAL DEVELOPMENT AND CORPORATE SERVICES DIRECTORATE</w:t>
      </w:r>
    </w:p>
    <w:p w:rsidR="0053632C" w:rsidRPr="00F310D2" w:rsidRDefault="0053632C" w:rsidP="008F3A4F">
      <w:pPr>
        <w:widowControl w:val="0"/>
        <w:autoSpaceDE w:val="0"/>
        <w:autoSpaceDN w:val="0"/>
        <w:adjustRightInd w:val="0"/>
        <w:spacing w:after="120"/>
        <w:rPr>
          <w:rFonts w:ascii="Arial" w:hAnsi="Arial" w:cs="Arial"/>
          <w:b/>
          <w:bCs/>
          <w:color w:val="000000"/>
          <w:sz w:val="22"/>
          <w:szCs w:val="22"/>
          <w:u w:val="single"/>
        </w:rPr>
      </w:pPr>
    </w:p>
    <w:p w:rsidR="0053632C" w:rsidRPr="00F310D2" w:rsidRDefault="001D1E40" w:rsidP="001D1E40">
      <w:pPr>
        <w:widowControl w:val="0"/>
        <w:autoSpaceDE w:val="0"/>
        <w:autoSpaceDN w:val="0"/>
        <w:adjustRightInd w:val="0"/>
        <w:spacing w:after="120"/>
        <w:ind w:left="709" w:hanging="425"/>
        <w:rPr>
          <w:rFonts w:ascii="Arial" w:hAnsi="Arial" w:cs="Arial"/>
          <w:b/>
          <w:bCs/>
          <w:color w:val="000000"/>
          <w:sz w:val="22"/>
          <w:szCs w:val="22"/>
          <w:u w:val="single"/>
        </w:rPr>
      </w:pPr>
      <w:r w:rsidRPr="00F310D2">
        <w:rPr>
          <w:rFonts w:ascii="Arial" w:hAnsi="Arial" w:cs="Arial"/>
          <w:b/>
          <w:bCs/>
          <w:color w:val="000000"/>
          <w:sz w:val="22"/>
          <w:szCs w:val="22"/>
        </w:rPr>
        <w:t>1.</w:t>
      </w:r>
      <w:r w:rsidR="0053632C" w:rsidRPr="00F310D2">
        <w:rPr>
          <w:rFonts w:ascii="Arial" w:hAnsi="Arial" w:cs="Arial"/>
          <w:b/>
          <w:bCs/>
          <w:color w:val="000000"/>
          <w:sz w:val="22"/>
          <w:szCs w:val="22"/>
        </w:rPr>
        <w:tab/>
      </w:r>
      <w:r w:rsidR="0053632C" w:rsidRPr="00F310D2">
        <w:rPr>
          <w:rFonts w:ascii="Arial" w:hAnsi="Arial" w:cs="Arial"/>
          <w:b/>
          <w:bCs/>
          <w:color w:val="000000"/>
          <w:sz w:val="22"/>
          <w:szCs w:val="22"/>
          <w:u w:val="single"/>
        </w:rPr>
        <w:t>Directorate Overview</w:t>
      </w:r>
    </w:p>
    <w:p w:rsidR="002E7746" w:rsidRPr="00F310D2" w:rsidRDefault="002E7746" w:rsidP="002E7746">
      <w:pPr>
        <w:numPr>
          <w:ilvl w:val="1"/>
          <w:numId w:val="4"/>
        </w:numPr>
        <w:rPr>
          <w:rFonts w:ascii="Arial" w:hAnsi="Arial" w:cs="Arial"/>
          <w:bCs/>
          <w:sz w:val="22"/>
          <w:szCs w:val="22"/>
        </w:rPr>
      </w:pPr>
      <w:r w:rsidRPr="00F310D2">
        <w:rPr>
          <w:rFonts w:ascii="Arial" w:hAnsi="Arial" w:cs="Arial"/>
          <w:bCs/>
          <w:sz w:val="22"/>
          <w:szCs w:val="22"/>
        </w:rPr>
        <w:t xml:space="preserve">Financial performance within Organisational Development and Corporate Services is </w:t>
      </w:r>
      <w:r w:rsidR="005944E5">
        <w:rPr>
          <w:rFonts w:ascii="Arial" w:hAnsi="Arial" w:cs="Arial"/>
          <w:bCs/>
          <w:sz w:val="22"/>
          <w:szCs w:val="22"/>
        </w:rPr>
        <w:t>projected as being on target for the year</w:t>
      </w:r>
      <w:r w:rsidRPr="00F310D2">
        <w:rPr>
          <w:rFonts w:ascii="Arial" w:hAnsi="Arial" w:cs="Arial"/>
          <w:bCs/>
          <w:sz w:val="22"/>
          <w:szCs w:val="22"/>
        </w:rPr>
        <w:t>.</w:t>
      </w:r>
    </w:p>
    <w:p w:rsidR="002E7746" w:rsidRPr="00F310D2" w:rsidRDefault="002E7746" w:rsidP="002E7746">
      <w:pPr>
        <w:ind w:left="644"/>
        <w:rPr>
          <w:rFonts w:ascii="Arial" w:hAnsi="Arial" w:cs="Arial"/>
          <w:bCs/>
          <w:sz w:val="22"/>
          <w:szCs w:val="22"/>
        </w:rPr>
      </w:pPr>
    </w:p>
    <w:p w:rsidR="0053632C" w:rsidRPr="00F310D2" w:rsidRDefault="00162DEB" w:rsidP="002E7746">
      <w:pPr>
        <w:numPr>
          <w:ilvl w:val="1"/>
          <w:numId w:val="4"/>
        </w:numPr>
        <w:rPr>
          <w:rFonts w:ascii="Arial" w:hAnsi="Arial" w:cs="Arial"/>
          <w:bCs/>
          <w:sz w:val="22"/>
          <w:szCs w:val="22"/>
        </w:rPr>
      </w:pPr>
      <w:r w:rsidRPr="00F310D2">
        <w:rPr>
          <w:rFonts w:ascii="Arial" w:hAnsi="Arial" w:cs="Arial"/>
          <w:bCs/>
          <w:sz w:val="22"/>
          <w:szCs w:val="22"/>
        </w:rPr>
        <w:t>F</w:t>
      </w:r>
      <w:r w:rsidR="00044480" w:rsidRPr="00F310D2">
        <w:rPr>
          <w:rFonts w:ascii="Arial" w:hAnsi="Arial" w:cs="Arial"/>
          <w:bCs/>
          <w:sz w:val="22"/>
          <w:szCs w:val="22"/>
        </w:rPr>
        <w:t xml:space="preserve">or the Directorate as a whole </w:t>
      </w:r>
      <w:r w:rsidR="0019275B">
        <w:rPr>
          <w:rFonts w:ascii="Arial" w:hAnsi="Arial" w:cs="Arial"/>
          <w:bCs/>
          <w:sz w:val="22"/>
          <w:szCs w:val="22"/>
        </w:rPr>
        <w:t>9</w:t>
      </w:r>
      <w:r w:rsidR="0053632C" w:rsidRPr="00F310D2">
        <w:rPr>
          <w:rFonts w:ascii="Arial" w:hAnsi="Arial" w:cs="Arial"/>
          <w:bCs/>
          <w:sz w:val="22"/>
          <w:szCs w:val="22"/>
        </w:rPr>
        <w:t xml:space="preserve"> (</w:t>
      </w:r>
      <w:r w:rsidR="0019275B">
        <w:rPr>
          <w:rFonts w:ascii="Arial" w:hAnsi="Arial" w:cs="Arial"/>
          <w:bCs/>
          <w:sz w:val="22"/>
          <w:szCs w:val="22"/>
        </w:rPr>
        <w:t>56</w:t>
      </w:r>
      <w:r w:rsidR="0053632C" w:rsidRPr="00F310D2">
        <w:rPr>
          <w:rFonts w:ascii="Arial" w:hAnsi="Arial" w:cs="Arial"/>
          <w:bCs/>
          <w:sz w:val="22"/>
          <w:szCs w:val="22"/>
        </w:rPr>
        <w:t>%) performan</w:t>
      </w:r>
      <w:r w:rsidRPr="00F310D2">
        <w:rPr>
          <w:rFonts w:ascii="Arial" w:hAnsi="Arial" w:cs="Arial"/>
          <w:bCs/>
          <w:sz w:val="22"/>
          <w:szCs w:val="22"/>
        </w:rPr>
        <w:t xml:space="preserve">ce measures are on target with </w:t>
      </w:r>
      <w:r w:rsidR="0019275B">
        <w:rPr>
          <w:rFonts w:ascii="Arial" w:hAnsi="Arial" w:cs="Arial"/>
          <w:bCs/>
          <w:sz w:val="22"/>
          <w:szCs w:val="22"/>
        </w:rPr>
        <w:t>5</w:t>
      </w:r>
      <w:r w:rsidR="0053632C" w:rsidRPr="00F310D2">
        <w:rPr>
          <w:rFonts w:ascii="Arial" w:hAnsi="Arial" w:cs="Arial"/>
          <w:bCs/>
          <w:sz w:val="22"/>
          <w:szCs w:val="22"/>
        </w:rPr>
        <w:t xml:space="preserve"> (</w:t>
      </w:r>
      <w:r w:rsidR="0019275B">
        <w:rPr>
          <w:rFonts w:ascii="Arial" w:hAnsi="Arial" w:cs="Arial"/>
          <w:bCs/>
          <w:sz w:val="22"/>
          <w:szCs w:val="22"/>
        </w:rPr>
        <w:t>31</w:t>
      </w:r>
      <w:r w:rsidR="0053632C" w:rsidRPr="00F310D2">
        <w:rPr>
          <w:rFonts w:ascii="Arial" w:hAnsi="Arial" w:cs="Arial"/>
          <w:bCs/>
          <w:sz w:val="22"/>
          <w:szCs w:val="22"/>
        </w:rPr>
        <w:t xml:space="preserve">%) below target but within tolerance limits and </w:t>
      </w:r>
      <w:r w:rsidR="0019275B">
        <w:rPr>
          <w:rFonts w:ascii="Arial" w:hAnsi="Arial" w:cs="Arial"/>
          <w:bCs/>
          <w:sz w:val="22"/>
          <w:szCs w:val="22"/>
        </w:rPr>
        <w:t>1</w:t>
      </w:r>
      <w:r w:rsidR="0053632C" w:rsidRPr="00F310D2">
        <w:rPr>
          <w:rFonts w:ascii="Arial" w:hAnsi="Arial" w:cs="Arial"/>
          <w:bCs/>
          <w:sz w:val="22"/>
          <w:szCs w:val="22"/>
        </w:rPr>
        <w:t xml:space="preserve"> (</w:t>
      </w:r>
      <w:r w:rsidR="0019275B">
        <w:rPr>
          <w:rFonts w:ascii="Arial" w:hAnsi="Arial" w:cs="Arial"/>
          <w:bCs/>
          <w:sz w:val="22"/>
          <w:szCs w:val="22"/>
        </w:rPr>
        <w:t>6</w:t>
      </w:r>
      <w:r w:rsidR="0053632C" w:rsidRPr="00F310D2">
        <w:rPr>
          <w:rFonts w:ascii="Arial" w:hAnsi="Arial" w:cs="Arial"/>
          <w:bCs/>
          <w:sz w:val="22"/>
          <w:szCs w:val="22"/>
        </w:rPr>
        <w:t xml:space="preserve">%) off target. </w:t>
      </w:r>
      <w:r w:rsidR="0019275B" w:rsidRPr="00CE5763">
        <w:rPr>
          <w:rFonts w:ascii="Arial" w:hAnsi="Arial" w:cs="Arial"/>
          <w:bCs/>
          <w:sz w:val="22"/>
          <w:szCs w:val="22"/>
        </w:rPr>
        <w:t xml:space="preserve">One measure had no data at the time of writing. </w:t>
      </w:r>
      <w:r w:rsidR="0053632C" w:rsidRPr="00CE5763">
        <w:rPr>
          <w:rFonts w:ascii="Arial" w:hAnsi="Arial" w:cs="Arial"/>
          <w:bCs/>
          <w:sz w:val="22"/>
          <w:szCs w:val="22"/>
        </w:rPr>
        <w:t>Risk management is currently reporting no red risks for the</w:t>
      </w:r>
      <w:r w:rsidR="00D07666" w:rsidRPr="00CE5763">
        <w:rPr>
          <w:rFonts w:ascii="Arial" w:hAnsi="Arial" w:cs="Arial"/>
          <w:bCs/>
          <w:sz w:val="22"/>
          <w:szCs w:val="22"/>
        </w:rPr>
        <w:t>se</w:t>
      </w:r>
      <w:r w:rsidR="0053632C" w:rsidRPr="00CE5763">
        <w:rPr>
          <w:rFonts w:ascii="Arial" w:hAnsi="Arial" w:cs="Arial"/>
          <w:bCs/>
          <w:sz w:val="22"/>
          <w:szCs w:val="22"/>
        </w:rPr>
        <w:t xml:space="preserve"> service</w:t>
      </w:r>
      <w:r w:rsidR="0053632C" w:rsidRPr="00F310D2">
        <w:rPr>
          <w:rFonts w:ascii="Arial" w:hAnsi="Arial" w:cs="Arial"/>
          <w:bCs/>
          <w:sz w:val="22"/>
          <w:szCs w:val="22"/>
        </w:rPr>
        <w:t xml:space="preserve"> areas</w:t>
      </w:r>
      <w:r w:rsidR="00D7272C">
        <w:rPr>
          <w:rFonts w:ascii="Arial" w:hAnsi="Arial" w:cs="Arial"/>
          <w:bCs/>
          <w:sz w:val="22"/>
          <w:szCs w:val="22"/>
        </w:rPr>
        <w:t xml:space="preserve"> and 13 amber risks</w:t>
      </w:r>
      <w:r w:rsidR="0053632C" w:rsidRPr="00F310D2">
        <w:rPr>
          <w:rFonts w:ascii="Arial" w:hAnsi="Arial" w:cs="Arial"/>
          <w:bCs/>
          <w:sz w:val="22"/>
          <w:szCs w:val="22"/>
        </w:rPr>
        <w:t>.</w:t>
      </w:r>
    </w:p>
    <w:p w:rsidR="0053632C" w:rsidRPr="00F310D2" w:rsidRDefault="00162DEB" w:rsidP="00162DEB">
      <w:pPr>
        <w:tabs>
          <w:tab w:val="left" w:pos="945"/>
        </w:tabs>
        <w:rPr>
          <w:rFonts w:ascii="Arial" w:hAnsi="Arial" w:cs="Arial"/>
          <w:bCs/>
          <w:sz w:val="22"/>
          <w:szCs w:val="22"/>
        </w:rPr>
      </w:pPr>
      <w:r w:rsidRPr="00F310D2">
        <w:rPr>
          <w:rFonts w:ascii="Arial" w:hAnsi="Arial" w:cs="Arial"/>
          <w:bCs/>
          <w:sz w:val="22"/>
          <w:szCs w:val="22"/>
        </w:rPr>
        <w:tab/>
      </w:r>
    </w:p>
    <w:p w:rsidR="0053632C" w:rsidRPr="00F310D2" w:rsidRDefault="0053632C" w:rsidP="001D1E40">
      <w:pPr>
        <w:ind w:left="709" w:hanging="425"/>
        <w:rPr>
          <w:rFonts w:ascii="Arial" w:hAnsi="Arial" w:cs="Arial"/>
          <w:b/>
          <w:bCs/>
          <w:sz w:val="22"/>
          <w:szCs w:val="22"/>
        </w:rPr>
      </w:pPr>
      <w:r w:rsidRPr="00F310D2">
        <w:rPr>
          <w:rFonts w:ascii="Arial" w:hAnsi="Arial" w:cs="Arial"/>
          <w:b/>
          <w:bCs/>
          <w:sz w:val="22"/>
          <w:szCs w:val="22"/>
        </w:rPr>
        <w:t>2</w:t>
      </w:r>
      <w:r w:rsidRPr="00F310D2">
        <w:rPr>
          <w:rFonts w:ascii="Arial" w:hAnsi="Arial" w:cs="Arial"/>
          <w:b/>
          <w:bCs/>
          <w:sz w:val="22"/>
          <w:szCs w:val="22"/>
        </w:rPr>
        <w:tab/>
      </w:r>
      <w:r w:rsidRPr="00F310D2">
        <w:rPr>
          <w:rFonts w:ascii="Arial" w:hAnsi="Arial" w:cs="Arial"/>
          <w:b/>
          <w:bCs/>
          <w:sz w:val="22"/>
          <w:szCs w:val="22"/>
          <w:u w:val="single"/>
        </w:rPr>
        <w:t>Directorate Financial Performance</w:t>
      </w:r>
    </w:p>
    <w:p w:rsidR="0053632C" w:rsidRPr="00F310D2" w:rsidRDefault="0053632C" w:rsidP="001D1E40">
      <w:pPr>
        <w:widowControl w:val="0"/>
        <w:autoSpaceDE w:val="0"/>
        <w:autoSpaceDN w:val="0"/>
        <w:adjustRightInd w:val="0"/>
        <w:rPr>
          <w:rFonts w:ascii="Arial" w:hAnsi="Arial" w:cs="Arial"/>
          <w:bCs/>
          <w:color w:val="000000"/>
          <w:sz w:val="22"/>
          <w:szCs w:val="22"/>
        </w:rPr>
      </w:pPr>
    </w:p>
    <w:p w:rsidR="0053632C" w:rsidRPr="00F310D2" w:rsidRDefault="001D1E40" w:rsidP="001D1E40">
      <w:pPr>
        <w:widowControl w:val="0"/>
        <w:autoSpaceDE w:val="0"/>
        <w:autoSpaceDN w:val="0"/>
        <w:adjustRightInd w:val="0"/>
        <w:ind w:left="720" w:hanging="436"/>
        <w:rPr>
          <w:rFonts w:ascii="Arial" w:hAnsi="Arial" w:cs="Arial"/>
          <w:bCs/>
          <w:color w:val="000000"/>
          <w:sz w:val="22"/>
          <w:szCs w:val="22"/>
        </w:rPr>
      </w:pPr>
      <w:r w:rsidRPr="00F310D2">
        <w:rPr>
          <w:rFonts w:ascii="Arial" w:hAnsi="Arial" w:cs="Arial"/>
          <w:bCs/>
          <w:color w:val="000000"/>
          <w:sz w:val="22"/>
          <w:szCs w:val="22"/>
        </w:rPr>
        <w:t>2.1</w:t>
      </w:r>
      <w:r w:rsidRPr="00F310D2">
        <w:rPr>
          <w:rFonts w:ascii="Arial" w:hAnsi="Arial" w:cs="Arial"/>
          <w:bCs/>
          <w:color w:val="000000"/>
          <w:sz w:val="22"/>
          <w:szCs w:val="22"/>
        </w:rPr>
        <w:tab/>
      </w:r>
      <w:r w:rsidR="0053632C" w:rsidRPr="00F310D2">
        <w:rPr>
          <w:rFonts w:ascii="Arial" w:hAnsi="Arial" w:cs="Arial"/>
          <w:bCs/>
          <w:color w:val="000000"/>
          <w:sz w:val="22"/>
          <w:szCs w:val="22"/>
        </w:rPr>
        <w:t>The Directorate is currently estimated to have a projected ou</w:t>
      </w:r>
      <w:r w:rsidR="002E7746" w:rsidRPr="00F310D2">
        <w:rPr>
          <w:rFonts w:ascii="Arial" w:hAnsi="Arial" w:cs="Arial"/>
          <w:bCs/>
          <w:color w:val="000000"/>
          <w:sz w:val="22"/>
          <w:szCs w:val="22"/>
        </w:rPr>
        <w:t>t</w:t>
      </w:r>
      <w:r w:rsidR="0053632C" w:rsidRPr="00F310D2">
        <w:rPr>
          <w:rFonts w:ascii="Arial" w:hAnsi="Arial" w:cs="Arial"/>
          <w:bCs/>
          <w:color w:val="000000"/>
          <w:sz w:val="22"/>
          <w:szCs w:val="22"/>
        </w:rPr>
        <w:t xml:space="preserve">turn </w:t>
      </w:r>
      <w:r w:rsidR="002E7746" w:rsidRPr="00F310D2">
        <w:rPr>
          <w:rFonts w:ascii="Arial" w:hAnsi="Arial" w:cs="Arial"/>
          <w:bCs/>
          <w:color w:val="000000"/>
          <w:sz w:val="22"/>
          <w:szCs w:val="22"/>
        </w:rPr>
        <w:t>position</w:t>
      </w:r>
      <w:r w:rsidR="0053632C" w:rsidRPr="00F310D2">
        <w:rPr>
          <w:rFonts w:ascii="Arial" w:hAnsi="Arial" w:cs="Arial"/>
          <w:bCs/>
          <w:color w:val="000000"/>
          <w:sz w:val="22"/>
          <w:szCs w:val="22"/>
        </w:rPr>
        <w:t xml:space="preserve"> of </w:t>
      </w:r>
      <w:r w:rsidR="002E7746" w:rsidRPr="00F310D2">
        <w:rPr>
          <w:rFonts w:ascii="Arial" w:hAnsi="Arial" w:cs="Arial"/>
          <w:bCs/>
          <w:color w:val="000000"/>
          <w:sz w:val="22"/>
          <w:szCs w:val="22"/>
        </w:rPr>
        <w:t>£14.</w:t>
      </w:r>
      <w:r w:rsidR="005944E5">
        <w:rPr>
          <w:rFonts w:ascii="Arial" w:hAnsi="Arial" w:cs="Arial"/>
          <w:bCs/>
          <w:color w:val="000000"/>
          <w:sz w:val="22"/>
          <w:szCs w:val="22"/>
        </w:rPr>
        <w:t>828</w:t>
      </w:r>
      <w:r w:rsidR="002E7746" w:rsidRPr="00F310D2">
        <w:rPr>
          <w:rFonts w:ascii="Arial" w:hAnsi="Arial" w:cs="Arial"/>
          <w:bCs/>
          <w:color w:val="000000"/>
          <w:sz w:val="22"/>
          <w:szCs w:val="22"/>
        </w:rPr>
        <w:t xml:space="preserve"> million, which is </w:t>
      </w:r>
      <w:r w:rsidR="005944E5">
        <w:rPr>
          <w:rFonts w:ascii="Arial" w:hAnsi="Arial" w:cs="Arial"/>
          <w:bCs/>
          <w:color w:val="000000"/>
          <w:sz w:val="22"/>
          <w:szCs w:val="22"/>
        </w:rPr>
        <w:t>the same as the latest budget.</w:t>
      </w:r>
    </w:p>
    <w:p w:rsidR="002E7746" w:rsidRDefault="002E7746" w:rsidP="005944E5">
      <w:pPr>
        <w:widowControl w:val="0"/>
        <w:autoSpaceDE w:val="0"/>
        <w:autoSpaceDN w:val="0"/>
        <w:adjustRightInd w:val="0"/>
        <w:ind w:left="720" w:hanging="11"/>
        <w:rPr>
          <w:rFonts w:ascii="Arial" w:hAnsi="Arial" w:cs="Arial"/>
          <w:bCs/>
          <w:color w:val="000000"/>
          <w:sz w:val="22"/>
          <w:szCs w:val="22"/>
        </w:rPr>
      </w:pPr>
    </w:p>
    <w:p w:rsidR="00AF4C58" w:rsidRPr="00F310D2" w:rsidRDefault="002B0049" w:rsidP="00E359E6">
      <w:pPr>
        <w:widowControl w:val="0"/>
        <w:autoSpaceDE w:val="0"/>
        <w:autoSpaceDN w:val="0"/>
        <w:adjustRightInd w:val="0"/>
        <w:ind w:left="709" w:hanging="425"/>
        <w:rPr>
          <w:rFonts w:ascii="Arial" w:hAnsi="Arial" w:cs="Arial"/>
          <w:bCs/>
          <w:color w:val="000000"/>
          <w:sz w:val="22"/>
          <w:szCs w:val="22"/>
        </w:rPr>
      </w:pPr>
      <w:r>
        <w:rPr>
          <w:rFonts w:ascii="Arial" w:hAnsi="Arial" w:cs="Arial"/>
          <w:bCs/>
          <w:color w:val="000000"/>
          <w:sz w:val="22"/>
          <w:szCs w:val="22"/>
        </w:rPr>
        <w:t>2.2</w:t>
      </w:r>
      <w:r>
        <w:rPr>
          <w:rFonts w:ascii="Arial" w:hAnsi="Arial" w:cs="Arial"/>
          <w:bCs/>
          <w:color w:val="000000"/>
          <w:sz w:val="22"/>
          <w:szCs w:val="22"/>
        </w:rPr>
        <w:tab/>
      </w:r>
      <w:r w:rsidR="00676F6B">
        <w:rPr>
          <w:rFonts w:ascii="Arial" w:hAnsi="Arial" w:cs="Arial"/>
          <w:bCs/>
          <w:color w:val="000000"/>
          <w:sz w:val="22"/>
          <w:szCs w:val="22"/>
        </w:rPr>
        <w:t>H</w:t>
      </w:r>
      <w:r w:rsidR="009C254A" w:rsidRPr="00F310D2">
        <w:rPr>
          <w:rFonts w:ascii="Arial" w:hAnsi="Arial" w:cs="Arial"/>
          <w:bCs/>
          <w:color w:val="000000"/>
          <w:sz w:val="22"/>
          <w:szCs w:val="22"/>
        </w:rPr>
        <w:t xml:space="preserve">owever outside </w:t>
      </w:r>
      <w:r w:rsidR="00676F6B">
        <w:rPr>
          <w:rFonts w:ascii="Arial" w:hAnsi="Arial" w:cs="Arial"/>
          <w:bCs/>
          <w:color w:val="000000"/>
          <w:sz w:val="22"/>
          <w:szCs w:val="22"/>
        </w:rPr>
        <w:t xml:space="preserve">of </w:t>
      </w:r>
      <w:r w:rsidR="009C254A" w:rsidRPr="00F310D2">
        <w:rPr>
          <w:rFonts w:ascii="Arial" w:hAnsi="Arial" w:cs="Arial"/>
          <w:bCs/>
          <w:color w:val="000000"/>
          <w:sz w:val="22"/>
          <w:szCs w:val="22"/>
        </w:rPr>
        <w:t>service budgets themselves there are other matters worthy of note as follows.</w:t>
      </w:r>
    </w:p>
    <w:p w:rsidR="00AF4C58" w:rsidRPr="00F310D2" w:rsidRDefault="00AF4C58" w:rsidP="00E359E6">
      <w:pPr>
        <w:widowControl w:val="0"/>
        <w:autoSpaceDE w:val="0"/>
        <w:autoSpaceDN w:val="0"/>
        <w:adjustRightInd w:val="0"/>
        <w:ind w:left="709" w:hanging="425"/>
        <w:rPr>
          <w:rFonts w:ascii="Arial" w:hAnsi="Arial" w:cs="Arial"/>
          <w:bCs/>
          <w:color w:val="000000"/>
          <w:sz w:val="22"/>
          <w:szCs w:val="22"/>
        </w:rPr>
      </w:pPr>
    </w:p>
    <w:p w:rsidR="00AF4C58" w:rsidRPr="00F310D2" w:rsidRDefault="00AF4C58" w:rsidP="00B22B82">
      <w:pPr>
        <w:widowControl w:val="0"/>
        <w:autoSpaceDE w:val="0"/>
        <w:autoSpaceDN w:val="0"/>
        <w:adjustRightInd w:val="0"/>
        <w:ind w:left="709"/>
        <w:rPr>
          <w:rFonts w:ascii="Arial" w:hAnsi="Arial" w:cs="Arial"/>
          <w:sz w:val="22"/>
          <w:szCs w:val="22"/>
          <w:u w:val="single"/>
        </w:rPr>
      </w:pPr>
      <w:r w:rsidRPr="00F310D2">
        <w:rPr>
          <w:rFonts w:ascii="Arial" w:hAnsi="Arial" w:cs="Arial"/>
          <w:sz w:val="22"/>
          <w:szCs w:val="22"/>
          <w:u w:val="single"/>
        </w:rPr>
        <w:t xml:space="preserve">Treasury </w:t>
      </w:r>
      <w:r w:rsidR="00DF2321" w:rsidRPr="00F310D2">
        <w:rPr>
          <w:rFonts w:ascii="Arial" w:hAnsi="Arial" w:cs="Arial"/>
          <w:sz w:val="22"/>
          <w:szCs w:val="22"/>
          <w:u w:val="single"/>
        </w:rPr>
        <w:t>Management</w:t>
      </w:r>
    </w:p>
    <w:p w:rsidR="00AF4C58" w:rsidRPr="00F310D2" w:rsidRDefault="00AF4C58" w:rsidP="00AF4C58">
      <w:pPr>
        <w:widowControl w:val="0"/>
        <w:autoSpaceDE w:val="0"/>
        <w:autoSpaceDN w:val="0"/>
        <w:adjustRightInd w:val="0"/>
        <w:rPr>
          <w:rFonts w:ascii="Arial" w:hAnsi="Arial" w:cs="Arial"/>
          <w:sz w:val="22"/>
          <w:szCs w:val="22"/>
        </w:rPr>
      </w:pPr>
    </w:p>
    <w:p w:rsidR="00B22B82" w:rsidRPr="00F310D2" w:rsidRDefault="005944E5" w:rsidP="00B22B82">
      <w:pPr>
        <w:widowControl w:val="0"/>
        <w:autoSpaceDE w:val="0"/>
        <w:autoSpaceDN w:val="0"/>
        <w:adjustRightInd w:val="0"/>
        <w:ind w:left="709" w:hanging="425"/>
        <w:rPr>
          <w:rFonts w:ascii="Arial" w:hAnsi="Arial" w:cs="Arial"/>
          <w:sz w:val="22"/>
          <w:szCs w:val="22"/>
        </w:rPr>
      </w:pPr>
      <w:r>
        <w:rPr>
          <w:rFonts w:ascii="Arial" w:hAnsi="Arial" w:cs="Arial"/>
          <w:sz w:val="22"/>
          <w:szCs w:val="22"/>
        </w:rPr>
        <w:t>2.</w:t>
      </w:r>
      <w:r w:rsidR="002B0049">
        <w:rPr>
          <w:rFonts w:ascii="Arial" w:hAnsi="Arial" w:cs="Arial"/>
          <w:sz w:val="22"/>
          <w:szCs w:val="22"/>
        </w:rPr>
        <w:t>3</w:t>
      </w:r>
      <w:r w:rsidR="00B22B82" w:rsidRPr="00F310D2">
        <w:rPr>
          <w:rFonts w:ascii="Arial" w:hAnsi="Arial" w:cs="Arial"/>
          <w:sz w:val="22"/>
          <w:szCs w:val="22"/>
        </w:rPr>
        <w:tab/>
      </w:r>
      <w:r w:rsidR="00DA51CD" w:rsidRPr="00DA51CD">
        <w:rPr>
          <w:rFonts w:ascii="Arial" w:hAnsi="Arial" w:cs="Arial"/>
          <w:sz w:val="22"/>
          <w:szCs w:val="22"/>
        </w:rPr>
        <w:t>Base rate remains at 0.5%. Total investments at the end of the quarter were £60.6m with £18.6m of this being held in Money Market Funds. There were no significant changes to the investment portfolio during the quarter. The average rate of return is fractionally lower than the previous month which is mainly due to the reinvestment of funds into the Bank of Scotland but at a lower interest rate than before due to a general decline in market rates.</w:t>
      </w:r>
    </w:p>
    <w:p w:rsidR="00B22B82" w:rsidRDefault="00B22B82" w:rsidP="00AF4C58">
      <w:pPr>
        <w:widowControl w:val="0"/>
        <w:autoSpaceDE w:val="0"/>
        <w:autoSpaceDN w:val="0"/>
        <w:adjustRightInd w:val="0"/>
        <w:rPr>
          <w:rFonts w:ascii="Arial" w:hAnsi="Arial" w:cs="Arial"/>
          <w:sz w:val="22"/>
          <w:szCs w:val="22"/>
        </w:rPr>
      </w:pPr>
    </w:p>
    <w:p w:rsidR="00DA51CD" w:rsidRDefault="00DA51CD" w:rsidP="00DA51CD">
      <w:pPr>
        <w:widowControl w:val="0"/>
        <w:autoSpaceDE w:val="0"/>
        <w:autoSpaceDN w:val="0"/>
        <w:adjustRightInd w:val="0"/>
        <w:ind w:left="709"/>
        <w:rPr>
          <w:rFonts w:ascii="Arial" w:hAnsi="Arial" w:cs="Arial"/>
          <w:sz w:val="22"/>
          <w:szCs w:val="22"/>
        </w:rPr>
      </w:pPr>
      <w:r>
        <w:rPr>
          <w:rFonts w:ascii="Arial" w:hAnsi="Arial" w:cs="Arial"/>
          <w:noProof/>
          <w:sz w:val="22"/>
          <w:szCs w:val="22"/>
        </w:rPr>
        <w:drawing>
          <wp:inline distT="0" distB="0" distL="0" distR="0" wp14:anchorId="0091ADFE">
            <wp:extent cx="6651402" cy="402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3911" cy="4030595"/>
                    </a:xfrm>
                    <a:prstGeom prst="rect">
                      <a:avLst/>
                    </a:prstGeom>
                    <a:noFill/>
                  </pic:spPr>
                </pic:pic>
              </a:graphicData>
            </a:graphic>
          </wp:inline>
        </w:drawing>
      </w:r>
    </w:p>
    <w:p w:rsidR="00DA51CD" w:rsidRPr="00F310D2" w:rsidRDefault="00DA51CD" w:rsidP="00AF4C58">
      <w:pPr>
        <w:widowControl w:val="0"/>
        <w:autoSpaceDE w:val="0"/>
        <w:autoSpaceDN w:val="0"/>
        <w:adjustRightInd w:val="0"/>
        <w:rPr>
          <w:rFonts w:ascii="Arial" w:hAnsi="Arial" w:cs="Arial"/>
          <w:sz w:val="22"/>
          <w:szCs w:val="22"/>
        </w:rPr>
      </w:pPr>
    </w:p>
    <w:p w:rsidR="00AF4C58" w:rsidRPr="00F310D2" w:rsidRDefault="00AF4C58" w:rsidP="00B22B82">
      <w:pPr>
        <w:widowControl w:val="0"/>
        <w:autoSpaceDE w:val="0"/>
        <w:autoSpaceDN w:val="0"/>
        <w:adjustRightInd w:val="0"/>
        <w:ind w:left="709"/>
        <w:rPr>
          <w:rFonts w:ascii="Arial" w:hAnsi="Arial" w:cs="Arial"/>
          <w:sz w:val="22"/>
          <w:szCs w:val="22"/>
          <w:u w:val="single"/>
        </w:rPr>
      </w:pPr>
      <w:r w:rsidRPr="00F310D2">
        <w:rPr>
          <w:rFonts w:ascii="Arial" w:hAnsi="Arial" w:cs="Arial"/>
          <w:sz w:val="22"/>
          <w:szCs w:val="22"/>
          <w:u w:val="single"/>
        </w:rPr>
        <w:lastRenderedPageBreak/>
        <w:t>Housing Benefit Overpayments</w:t>
      </w:r>
    </w:p>
    <w:p w:rsidR="00865AC3" w:rsidRPr="000809C1" w:rsidRDefault="00865AC3" w:rsidP="000809C1">
      <w:pPr>
        <w:widowControl w:val="0"/>
        <w:autoSpaceDE w:val="0"/>
        <w:autoSpaceDN w:val="0"/>
        <w:adjustRightInd w:val="0"/>
        <w:rPr>
          <w:rFonts w:ascii="Arial" w:hAnsi="Arial" w:cs="Arial"/>
          <w:sz w:val="22"/>
          <w:szCs w:val="22"/>
        </w:rPr>
      </w:pPr>
    </w:p>
    <w:p w:rsidR="00DA51CD" w:rsidRPr="00DA51CD" w:rsidRDefault="00594D90" w:rsidP="00DA51CD">
      <w:pPr>
        <w:widowControl w:val="0"/>
        <w:autoSpaceDE w:val="0"/>
        <w:autoSpaceDN w:val="0"/>
        <w:adjustRightInd w:val="0"/>
        <w:ind w:left="709" w:hanging="425"/>
        <w:rPr>
          <w:rFonts w:ascii="Arial" w:hAnsi="Arial" w:cs="Arial"/>
          <w:sz w:val="22"/>
          <w:szCs w:val="22"/>
        </w:rPr>
      </w:pPr>
      <w:r w:rsidRPr="00F310D2">
        <w:rPr>
          <w:rFonts w:ascii="Arial" w:hAnsi="Arial" w:cs="Arial"/>
          <w:sz w:val="22"/>
          <w:szCs w:val="22"/>
        </w:rPr>
        <w:t>2.</w:t>
      </w:r>
      <w:r w:rsidR="000F2A8B">
        <w:rPr>
          <w:rFonts w:ascii="Arial" w:hAnsi="Arial" w:cs="Arial"/>
          <w:sz w:val="22"/>
          <w:szCs w:val="22"/>
        </w:rPr>
        <w:t>4</w:t>
      </w:r>
      <w:r w:rsidRPr="00F310D2">
        <w:rPr>
          <w:rFonts w:ascii="Arial" w:hAnsi="Arial" w:cs="Arial"/>
          <w:sz w:val="22"/>
          <w:szCs w:val="22"/>
        </w:rPr>
        <w:tab/>
      </w:r>
      <w:r w:rsidR="003B3364">
        <w:rPr>
          <w:rFonts w:ascii="Arial" w:hAnsi="Arial" w:cs="Arial"/>
          <w:sz w:val="22"/>
          <w:szCs w:val="22"/>
        </w:rPr>
        <w:t>T</w:t>
      </w:r>
      <w:r w:rsidR="00DA51CD" w:rsidRPr="00DA51CD">
        <w:rPr>
          <w:rFonts w:ascii="Arial" w:hAnsi="Arial" w:cs="Arial"/>
          <w:sz w:val="22"/>
          <w:szCs w:val="22"/>
        </w:rPr>
        <w:t xml:space="preserve">he overall value of HB Overpayments outstanding </w:t>
      </w:r>
      <w:r w:rsidR="003B3364">
        <w:rPr>
          <w:rFonts w:ascii="Arial" w:hAnsi="Arial" w:cs="Arial"/>
          <w:sz w:val="22"/>
          <w:szCs w:val="22"/>
        </w:rPr>
        <w:t xml:space="preserve">has </w:t>
      </w:r>
      <w:r w:rsidR="00DA51CD" w:rsidRPr="00DA51CD">
        <w:rPr>
          <w:rFonts w:ascii="Arial" w:hAnsi="Arial" w:cs="Arial"/>
          <w:sz w:val="22"/>
          <w:szCs w:val="22"/>
        </w:rPr>
        <w:t>dropp</w:t>
      </w:r>
      <w:r w:rsidR="003B3364">
        <w:rPr>
          <w:rFonts w:ascii="Arial" w:hAnsi="Arial" w:cs="Arial"/>
          <w:sz w:val="22"/>
          <w:szCs w:val="22"/>
        </w:rPr>
        <w:t>ed</w:t>
      </w:r>
      <w:r w:rsidR="00DA51CD" w:rsidRPr="00DA51CD">
        <w:rPr>
          <w:rFonts w:ascii="Arial" w:hAnsi="Arial" w:cs="Arial"/>
          <w:sz w:val="22"/>
          <w:szCs w:val="22"/>
        </w:rPr>
        <w:t xml:space="preserve"> by £</w:t>
      </w:r>
      <w:r w:rsidR="00DA51CD">
        <w:rPr>
          <w:rFonts w:ascii="Arial" w:hAnsi="Arial" w:cs="Arial"/>
          <w:sz w:val="22"/>
          <w:szCs w:val="22"/>
        </w:rPr>
        <w:t>0.</w:t>
      </w:r>
      <w:r w:rsidR="00DA51CD" w:rsidRPr="00DA51CD">
        <w:rPr>
          <w:rFonts w:ascii="Arial" w:hAnsi="Arial" w:cs="Arial"/>
          <w:sz w:val="22"/>
          <w:szCs w:val="22"/>
        </w:rPr>
        <w:t>447</w:t>
      </w:r>
      <w:r w:rsidR="00DA51CD">
        <w:rPr>
          <w:rFonts w:ascii="Arial" w:hAnsi="Arial" w:cs="Arial"/>
          <w:sz w:val="22"/>
          <w:szCs w:val="22"/>
        </w:rPr>
        <w:t xml:space="preserve"> million</w:t>
      </w:r>
      <w:r w:rsidR="00DA51CD" w:rsidRPr="00DA51CD">
        <w:rPr>
          <w:rFonts w:ascii="Arial" w:hAnsi="Arial" w:cs="Arial"/>
          <w:sz w:val="22"/>
          <w:szCs w:val="22"/>
        </w:rPr>
        <w:t xml:space="preserve"> since </w:t>
      </w:r>
      <w:r w:rsidR="00DA51CD">
        <w:rPr>
          <w:rFonts w:ascii="Arial" w:hAnsi="Arial" w:cs="Arial"/>
          <w:sz w:val="22"/>
          <w:szCs w:val="22"/>
        </w:rPr>
        <w:t>1</w:t>
      </w:r>
      <w:r w:rsidR="00DA51CD" w:rsidRPr="00DA51CD">
        <w:rPr>
          <w:rFonts w:ascii="Arial" w:hAnsi="Arial" w:cs="Arial"/>
          <w:sz w:val="22"/>
          <w:szCs w:val="22"/>
          <w:vertAlign w:val="superscript"/>
        </w:rPr>
        <w:t>st</w:t>
      </w:r>
      <w:r w:rsidR="00DA51CD">
        <w:rPr>
          <w:rFonts w:ascii="Arial" w:hAnsi="Arial" w:cs="Arial"/>
          <w:sz w:val="22"/>
          <w:szCs w:val="22"/>
        </w:rPr>
        <w:t xml:space="preserve"> </w:t>
      </w:r>
      <w:r w:rsidR="00DA51CD" w:rsidRPr="00DA51CD">
        <w:rPr>
          <w:rFonts w:ascii="Arial" w:hAnsi="Arial" w:cs="Arial"/>
          <w:sz w:val="22"/>
          <w:szCs w:val="22"/>
        </w:rPr>
        <w:t>April</w:t>
      </w:r>
      <w:r w:rsidR="003B3364">
        <w:rPr>
          <w:rFonts w:ascii="Arial" w:hAnsi="Arial" w:cs="Arial"/>
          <w:sz w:val="22"/>
          <w:szCs w:val="22"/>
        </w:rPr>
        <w:t xml:space="preserve"> primarily due to debt</w:t>
      </w:r>
      <w:r w:rsidR="00DA51CD" w:rsidRPr="00DA51CD">
        <w:rPr>
          <w:rFonts w:ascii="Arial" w:hAnsi="Arial" w:cs="Arial"/>
          <w:sz w:val="22"/>
          <w:szCs w:val="22"/>
        </w:rPr>
        <w:t xml:space="preserve"> </w:t>
      </w:r>
      <w:r w:rsidR="009C3CE1">
        <w:rPr>
          <w:rFonts w:ascii="Arial" w:hAnsi="Arial" w:cs="Arial"/>
          <w:sz w:val="22"/>
          <w:szCs w:val="22"/>
        </w:rPr>
        <w:t xml:space="preserve">being </w:t>
      </w:r>
      <w:r w:rsidR="00DA51CD" w:rsidRPr="00DA51CD">
        <w:rPr>
          <w:rFonts w:ascii="Arial" w:hAnsi="Arial" w:cs="Arial"/>
          <w:sz w:val="22"/>
          <w:szCs w:val="22"/>
        </w:rPr>
        <w:t>writ</w:t>
      </w:r>
      <w:r w:rsidR="00B21401">
        <w:rPr>
          <w:rFonts w:ascii="Arial" w:hAnsi="Arial" w:cs="Arial"/>
          <w:sz w:val="22"/>
          <w:szCs w:val="22"/>
        </w:rPr>
        <w:t>t</w:t>
      </w:r>
      <w:r w:rsidR="00DA51CD" w:rsidRPr="00DA51CD">
        <w:rPr>
          <w:rFonts w:ascii="Arial" w:hAnsi="Arial" w:cs="Arial"/>
          <w:sz w:val="22"/>
          <w:szCs w:val="22"/>
        </w:rPr>
        <w:t>e</w:t>
      </w:r>
      <w:r w:rsidR="00B21401">
        <w:rPr>
          <w:rFonts w:ascii="Arial" w:hAnsi="Arial" w:cs="Arial"/>
          <w:sz w:val="22"/>
          <w:szCs w:val="22"/>
        </w:rPr>
        <w:t>n</w:t>
      </w:r>
      <w:r w:rsidR="00DA51CD" w:rsidRPr="00DA51CD">
        <w:rPr>
          <w:rFonts w:ascii="Arial" w:hAnsi="Arial" w:cs="Arial"/>
          <w:sz w:val="22"/>
          <w:szCs w:val="22"/>
        </w:rPr>
        <w:t xml:space="preserve"> off</w:t>
      </w:r>
      <w:r w:rsidR="009C3CE1">
        <w:rPr>
          <w:rFonts w:ascii="Arial" w:hAnsi="Arial" w:cs="Arial"/>
          <w:sz w:val="22"/>
          <w:szCs w:val="22"/>
        </w:rPr>
        <w:t xml:space="preserve"> against the bad debt provision</w:t>
      </w:r>
      <w:r w:rsidR="00F97231">
        <w:rPr>
          <w:rFonts w:ascii="Arial" w:hAnsi="Arial" w:cs="Arial"/>
          <w:sz w:val="22"/>
          <w:szCs w:val="22"/>
        </w:rPr>
        <w:t xml:space="preserve"> (£4.136 million as at 31</w:t>
      </w:r>
      <w:r w:rsidR="00B21401" w:rsidRPr="00B21401">
        <w:rPr>
          <w:rFonts w:ascii="Arial" w:hAnsi="Arial" w:cs="Arial"/>
          <w:sz w:val="22"/>
          <w:szCs w:val="22"/>
          <w:vertAlign w:val="superscript"/>
        </w:rPr>
        <w:t>st</w:t>
      </w:r>
      <w:r w:rsidR="00B21401">
        <w:rPr>
          <w:rFonts w:ascii="Arial" w:hAnsi="Arial" w:cs="Arial"/>
          <w:sz w:val="22"/>
          <w:szCs w:val="22"/>
        </w:rPr>
        <w:t xml:space="preserve"> March 2015</w:t>
      </w:r>
      <w:r w:rsidR="00F97231">
        <w:rPr>
          <w:rFonts w:ascii="Arial" w:hAnsi="Arial" w:cs="Arial"/>
          <w:sz w:val="22"/>
          <w:szCs w:val="22"/>
        </w:rPr>
        <w:t>)</w:t>
      </w:r>
      <w:r w:rsidR="00DA51CD" w:rsidRPr="00DA51CD">
        <w:rPr>
          <w:rFonts w:ascii="Arial" w:hAnsi="Arial" w:cs="Arial"/>
          <w:sz w:val="22"/>
          <w:szCs w:val="22"/>
        </w:rPr>
        <w:t>.</w:t>
      </w:r>
    </w:p>
    <w:p w:rsidR="00AF4C58" w:rsidRPr="00F310D2" w:rsidRDefault="00AF4C58" w:rsidP="00AF4C58">
      <w:pPr>
        <w:widowControl w:val="0"/>
        <w:autoSpaceDE w:val="0"/>
        <w:autoSpaceDN w:val="0"/>
        <w:adjustRightInd w:val="0"/>
        <w:rPr>
          <w:rFonts w:ascii="Arial" w:hAnsi="Arial" w:cs="Arial"/>
          <w:sz w:val="22"/>
          <w:szCs w:val="22"/>
        </w:rPr>
      </w:pPr>
    </w:p>
    <w:p w:rsidR="00DA51CD" w:rsidRDefault="00DA51CD" w:rsidP="00DA51CD">
      <w:pPr>
        <w:widowControl w:val="0"/>
        <w:autoSpaceDE w:val="0"/>
        <w:autoSpaceDN w:val="0"/>
        <w:adjustRightInd w:val="0"/>
        <w:ind w:left="709" w:hanging="425"/>
        <w:rPr>
          <w:rFonts w:ascii="Arial" w:hAnsi="Arial" w:cs="Arial"/>
          <w:sz w:val="22"/>
          <w:szCs w:val="22"/>
        </w:rPr>
      </w:pPr>
    </w:p>
    <w:p w:rsidR="00DA51CD" w:rsidRPr="00DA51CD" w:rsidRDefault="00DA51CD" w:rsidP="00DA51CD">
      <w:pPr>
        <w:widowControl w:val="0"/>
        <w:autoSpaceDE w:val="0"/>
        <w:autoSpaceDN w:val="0"/>
        <w:adjustRightInd w:val="0"/>
        <w:ind w:left="709" w:hanging="425"/>
        <w:rPr>
          <w:rFonts w:ascii="Arial" w:hAnsi="Arial" w:cs="Arial"/>
          <w:sz w:val="22"/>
          <w:szCs w:val="22"/>
        </w:rPr>
      </w:pPr>
      <w:r w:rsidRPr="00F310D2">
        <w:rPr>
          <w:rFonts w:ascii="Arial" w:hAnsi="Arial" w:cs="Arial"/>
          <w:sz w:val="22"/>
          <w:szCs w:val="22"/>
        </w:rPr>
        <w:t>2.</w:t>
      </w:r>
      <w:r w:rsidR="000F2A8B">
        <w:rPr>
          <w:rFonts w:ascii="Arial" w:hAnsi="Arial" w:cs="Arial"/>
          <w:sz w:val="22"/>
          <w:szCs w:val="22"/>
        </w:rPr>
        <w:t>5</w:t>
      </w:r>
      <w:r w:rsidR="000F2A8B">
        <w:rPr>
          <w:rFonts w:ascii="Arial" w:hAnsi="Arial" w:cs="Arial"/>
          <w:sz w:val="22"/>
          <w:szCs w:val="22"/>
        </w:rPr>
        <w:tab/>
      </w:r>
      <w:r w:rsidR="00D97214">
        <w:rPr>
          <w:rFonts w:ascii="Arial" w:hAnsi="Arial" w:cs="Arial"/>
          <w:sz w:val="22"/>
          <w:szCs w:val="22"/>
        </w:rPr>
        <w:t xml:space="preserve">However, the value of </w:t>
      </w:r>
      <w:r w:rsidRPr="00DA51CD">
        <w:rPr>
          <w:rFonts w:ascii="Arial" w:hAnsi="Arial" w:cs="Arial"/>
          <w:sz w:val="22"/>
          <w:szCs w:val="22"/>
        </w:rPr>
        <w:t>overpayments outstanding at the end of June 2015 w</w:t>
      </w:r>
      <w:r w:rsidR="00D97214">
        <w:rPr>
          <w:rFonts w:ascii="Arial" w:hAnsi="Arial" w:cs="Arial"/>
          <w:sz w:val="22"/>
          <w:szCs w:val="22"/>
        </w:rPr>
        <w:t>as</w:t>
      </w:r>
      <w:r w:rsidRPr="00DA51CD">
        <w:rPr>
          <w:rFonts w:ascii="Arial" w:hAnsi="Arial" w:cs="Arial"/>
          <w:sz w:val="22"/>
          <w:szCs w:val="22"/>
        </w:rPr>
        <w:t xml:space="preserve"> £5,625k, a</w:t>
      </w:r>
      <w:r w:rsidR="00D97214">
        <w:rPr>
          <w:rFonts w:ascii="Arial" w:hAnsi="Arial" w:cs="Arial"/>
          <w:sz w:val="22"/>
          <w:szCs w:val="22"/>
        </w:rPr>
        <w:t xml:space="preserve">n </w:t>
      </w:r>
      <w:r w:rsidRPr="00DA51CD">
        <w:rPr>
          <w:rFonts w:ascii="Arial" w:hAnsi="Arial" w:cs="Arial"/>
          <w:sz w:val="22"/>
          <w:szCs w:val="22"/>
        </w:rPr>
        <w:t xml:space="preserve">11% </w:t>
      </w:r>
      <w:r w:rsidR="00D97214">
        <w:rPr>
          <w:rFonts w:ascii="Arial" w:hAnsi="Arial" w:cs="Arial"/>
          <w:sz w:val="22"/>
          <w:szCs w:val="22"/>
        </w:rPr>
        <w:t>increase on June 2014</w:t>
      </w:r>
      <w:r w:rsidRPr="00DA51CD">
        <w:rPr>
          <w:rFonts w:ascii="Arial" w:hAnsi="Arial" w:cs="Arial"/>
          <w:sz w:val="22"/>
          <w:szCs w:val="22"/>
        </w:rPr>
        <w:t xml:space="preserve">. </w:t>
      </w:r>
      <w:r w:rsidR="00CE5763">
        <w:rPr>
          <w:rFonts w:ascii="Arial" w:hAnsi="Arial" w:cs="Arial"/>
          <w:sz w:val="22"/>
          <w:szCs w:val="22"/>
        </w:rPr>
        <w:t xml:space="preserve">Officers are currently reviewing all outstanding arrears </w:t>
      </w:r>
      <w:r w:rsidR="00B21401">
        <w:rPr>
          <w:rFonts w:ascii="Arial" w:hAnsi="Arial" w:cs="Arial"/>
          <w:sz w:val="22"/>
          <w:szCs w:val="22"/>
        </w:rPr>
        <w:t xml:space="preserve">to identify any debt that is not collectible </w:t>
      </w:r>
      <w:r w:rsidR="00CE5763">
        <w:rPr>
          <w:rFonts w:ascii="Arial" w:hAnsi="Arial" w:cs="Arial"/>
          <w:sz w:val="22"/>
          <w:szCs w:val="22"/>
        </w:rPr>
        <w:t xml:space="preserve">with a view to </w:t>
      </w:r>
      <w:r w:rsidR="00B21401">
        <w:rPr>
          <w:rFonts w:ascii="Arial" w:hAnsi="Arial" w:cs="Arial"/>
          <w:sz w:val="22"/>
          <w:szCs w:val="22"/>
        </w:rPr>
        <w:t>writing this off</w:t>
      </w:r>
      <w:r w:rsidR="00CE5763">
        <w:rPr>
          <w:rFonts w:ascii="Arial" w:hAnsi="Arial" w:cs="Arial"/>
          <w:sz w:val="22"/>
          <w:szCs w:val="22"/>
        </w:rPr>
        <w:t>.</w:t>
      </w:r>
    </w:p>
    <w:p w:rsidR="00DA51CD" w:rsidRPr="00DA51CD" w:rsidRDefault="00DA51CD" w:rsidP="00DA51CD">
      <w:pPr>
        <w:widowControl w:val="0"/>
        <w:autoSpaceDE w:val="0"/>
        <w:autoSpaceDN w:val="0"/>
        <w:adjustRightInd w:val="0"/>
        <w:ind w:left="709" w:hanging="425"/>
        <w:rPr>
          <w:rFonts w:ascii="Arial" w:hAnsi="Arial" w:cs="Arial"/>
          <w:sz w:val="22"/>
          <w:szCs w:val="22"/>
        </w:rPr>
      </w:pPr>
    </w:p>
    <w:p w:rsidR="00594D90" w:rsidRPr="00F310D2" w:rsidRDefault="00DA51CD" w:rsidP="00594D90">
      <w:pPr>
        <w:widowControl w:val="0"/>
        <w:autoSpaceDE w:val="0"/>
        <w:autoSpaceDN w:val="0"/>
        <w:adjustRightInd w:val="0"/>
        <w:ind w:left="709"/>
        <w:rPr>
          <w:rFonts w:ascii="Arial" w:hAnsi="Arial" w:cs="Arial"/>
          <w:sz w:val="22"/>
          <w:szCs w:val="22"/>
        </w:rPr>
      </w:pPr>
      <w:r>
        <w:rPr>
          <w:rFonts w:ascii="Arial" w:hAnsi="Arial" w:cs="Arial"/>
          <w:noProof/>
          <w:sz w:val="22"/>
          <w:szCs w:val="22"/>
        </w:rPr>
        <w:drawing>
          <wp:inline distT="0" distB="0" distL="0" distR="0" wp14:anchorId="700B23AA">
            <wp:extent cx="6553200" cy="3314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875" cy="3319889"/>
                    </a:xfrm>
                    <a:prstGeom prst="rect">
                      <a:avLst/>
                    </a:prstGeom>
                    <a:noFill/>
                  </pic:spPr>
                </pic:pic>
              </a:graphicData>
            </a:graphic>
          </wp:inline>
        </w:drawing>
      </w:r>
    </w:p>
    <w:p w:rsidR="00594D90" w:rsidRDefault="00594D90" w:rsidP="001D1E40">
      <w:pPr>
        <w:widowControl w:val="0"/>
        <w:autoSpaceDE w:val="0"/>
        <w:autoSpaceDN w:val="0"/>
        <w:adjustRightInd w:val="0"/>
        <w:rPr>
          <w:rFonts w:ascii="Arial" w:hAnsi="Arial" w:cs="Arial"/>
          <w:sz w:val="22"/>
          <w:szCs w:val="22"/>
        </w:rPr>
      </w:pPr>
    </w:p>
    <w:p w:rsidR="00AF4C58" w:rsidRPr="00F310D2" w:rsidRDefault="00AF4C58" w:rsidP="00594D90">
      <w:pPr>
        <w:widowControl w:val="0"/>
        <w:autoSpaceDE w:val="0"/>
        <w:autoSpaceDN w:val="0"/>
        <w:adjustRightInd w:val="0"/>
        <w:ind w:left="709"/>
        <w:rPr>
          <w:rFonts w:ascii="Arial" w:hAnsi="Arial" w:cs="Arial"/>
          <w:sz w:val="22"/>
          <w:szCs w:val="22"/>
          <w:u w:val="single"/>
        </w:rPr>
      </w:pPr>
      <w:r w:rsidRPr="00F310D2">
        <w:rPr>
          <w:rFonts w:ascii="Arial" w:hAnsi="Arial" w:cs="Arial"/>
          <w:sz w:val="22"/>
          <w:szCs w:val="22"/>
          <w:u w:val="single"/>
        </w:rPr>
        <w:t>Business Rates</w:t>
      </w:r>
      <w:r w:rsidR="00594D90" w:rsidRPr="00F310D2">
        <w:rPr>
          <w:rFonts w:ascii="Arial" w:hAnsi="Arial" w:cs="Arial"/>
          <w:sz w:val="22"/>
          <w:szCs w:val="22"/>
          <w:u w:val="single"/>
        </w:rPr>
        <w:t xml:space="preserve"> Collection</w:t>
      </w:r>
    </w:p>
    <w:p w:rsidR="00AF4C58" w:rsidRPr="00F310D2" w:rsidRDefault="00AF4C58" w:rsidP="00AF4C58">
      <w:pPr>
        <w:widowControl w:val="0"/>
        <w:autoSpaceDE w:val="0"/>
        <w:autoSpaceDN w:val="0"/>
        <w:adjustRightInd w:val="0"/>
        <w:rPr>
          <w:rFonts w:ascii="Arial" w:hAnsi="Arial" w:cs="Arial"/>
          <w:sz w:val="22"/>
          <w:szCs w:val="22"/>
        </w:rPr>
      </w:pPr>
    </w:p>
    <w:p w:rsidR="00DA51CD" w:rsidRPr="00DA51CD" w:rsidRDefault="00865AC3" w:rsidP="00DA51CD">
      <w:pPr>
        <w:widowControl w:val="0"/>
        <w:autoSpaceDE w:val="0"/>
        <w:autoSpaceDN w:val="0"/>
        <w:adjustRightInd w:val="0"/>
        <w:ind w:left="709" w:hanging="425"/>
        <w:rPr>
          <w:rFonts w:ascii="Arial" w:hAnsi="Arial" w:cs="Arial"/>
          <w:sz w:val="22"/>
          <w:szCs w:val="22"/>
        </w:rPr>
      </w:pPr>
      <w:r>
        <w:rPr>
          <w:rFonts w:ascii="Arial" w:hAnsi="Arial" w:cs="Arial"/>
          <w:sz w:val="22"/>
          <w:szCs w:val="22"/>
        </w:rPr>
        <w:t>2.</w:t>
      </w:r>
      <w:r w:rsidR="006D068A">
        <w:rPr>
          <w:rFonts w:ascii="Arial" w:hAnsi="Arial" w:cs="Arial"/>
          <w:sz w:val="22"/>
          <w:szCs w:val="22"/>
        </w:rPr>
        <w:t>6</w:t>
      </w:r>
      <w:r w:rsidR="00F01CF8">
        <w:rPr>
          <w:rFonts w:ascii="Arial" w:hAnsi="Arial" w:cs="Arial"/>
          <w:sz w:val="22"/>
          <w:szCs w:val="22"/>
        </w:rPr>
        <w:tab/>
      </w:r>
      <w:r w:rsidR="00DA51CD">
        <w:rPr>
          <w:rFonts w:ascii="Arial" w:hAnsi="Arial" w:cs="Arial"/>
          <w:sz w:val="22"/>
          <w:szCs w:val="22"/>
        </w:rPr>
        <w:t>Arrears of non-</w:t>
      </w:r>
      <w:r w:rsidR="00DA51CD" w:rsidRPr="00DA51CD">
        <w:rPr>
          <w:rFonts w:ascii="Arial" w:hAnsi="Arial" w:cs="Arial"/>
          <w:sz w:val="22"/>
          <w:szCs w:val="22"/>
        </w:rPr>
        <w:t>domestic rates carried forward on April 1st 2015 were £2</w:t>
      </w:r>
      <w:r w:rsidR="00DA51CD">
        <w:rPr>
          <w:rFonts w:ascii="Arial" w:hAnsi="Arial" w:cs="Arial"/>
          <w:sz w:val="22"/>
          <w:szCs w:val="22"/>
        </w:rPr>
        <w:t>.</w:t>
      </w:r>
      <w:r w:rsidR="00DA51CD" w:rsidRPr="00DA51CD">
        <w:rPr>
          <w:rFonts w:ascii="Arial" w:hAnsi="Arial" w:cs="Arial"/>
          <w:sz w:val="22"/>
          <w:szCs w:val="22"/>
        </w:rPr>
        <w:t>469</w:t>
      </w:r>
      <w:r w:rsidR="00DA51CD">
        <w:rPr>
          <w:rFonts w:ascii="Arial" w:hAnsi="Arial" w:cs="Arial"/>
          <w:sz w:val="22"/>
          <w:szCs w:val="22"/>
        </w:rPr>
        <w:t xml:space="preserve"> million which is </w:t>
      </w:r>
      <w:r w:rsidR="00DA51CD" w:rsidRPr="00DA51CD">
        <w:rPr>
          <w:rFonts w:ascii="Arial" w:hAnsi="Arial" w:cs="Arial"/>
          <w:sz w:val="22"/>
          <w:szCs w:val="22"/>
        </w:rPr>
        <w:t>£</w:t>
      </w:r>
      <w:r w:rsidR="00DA51CD">
        <w:rPr>
          <w:rFonts w:ascii="Arial" w:hAnsi="Arial" w:cs="Arial"/>
          <w:sz w:val="22"/>
          <w:szCs w:val="22"/>
        </w:rPr>
        <w:t>0.</w:t>
      </w:r>
      <w:r w:rsidR="00DA51CD" w:rsidRPr="00DA51CD">
        <w:rPr>
          <w:rFonts w:ascii="Arial" w:hAnsi="Arial" w:cs="Arial"/>
          <w:sz w:val="22"/>
          <w:szCs w:val="22"/>
        </w:rPr>
        <w:t>854</w:t>
      </w:r>
      <w:r w:rsidR="00DA51CD">
        <w:rPr>
          <w:rFonts w:ascii="Arial" w:hAnsi="Arial" w:cs="Arial"/>
          <w:sz w:val="22"/>
          <w:szCs w:val="22"/>
        </w:rPr>
        <w:t xml:space="preserve"> million</w:t>
      </w:r>
      <w:r w:rsidR="00DA51CD" w:rsidRPr="00DA51CD">
        <w:rPr>
          <w:rFonts w:ascii="Arial" w:hAnsi="Arial" w:cs="Arial"/>
          <w:sz w:val="22"/>
          <w:szCs w:val="22"/>
        </w:rPr>
        <w:t xml:space="preserve"> (25.7%) down on the corresponding figure 12 months earlier.</w:t>
      </w:r>
    </w:p>
    <w:p w:rsidR="00DA51CD" w:rsidRPr="00DA51CD" w:rsidRDefault="00DA51CD" w:rsidP="00DA51CD">
      <w:pPr>
        <w:widowControl w:val="0"/>
        <w:autoSpaceDE w:val="0"/>
        <w:autoSpaceDN w:val="0"/>
        <w:adjustRightInd w:val="0"/>
        <w:ind w:left="709" w:hanging="425"/>
        <w:rPr>
          <w:rFonts w:ascii="Arial" w:hAnsi="Arial" w:cs="Arial"/>
          <w:sz w:val="22"/>
          <w:szCs w:val="22"/>
        </w:rPr>
      </w:pPr>
    </w:p>
    <w:p w:rsidR="00E34F79" w:rsidRDefault="00DA51CD" w:rsidP="00E34F79">
      <w:pPr>
        <w:widowControl w:val="0"/>
        <w:autoSpaceDE w:val="0"/>
        <w:autoSpaceDN w:val="0"/>
        <w:adjustRightInd w:val="0"/>
        <w:ind w:left="709"/>
        <w:rPr>
          <w:rFonts w:ascii="Arial" w:hAnsi="Arial" w:cs="Arial"/>
          <w:sz w:val="22"/>
          <w:szCs w:val="22"/>
        </w:rPr>
      </w:pPr>
      <w:r>
        <w:rPr>
          <w:rFonts w:ascii="Arial" w:hAnsi="Arial" w:cs="Arial"/>
          <w:noProof/>
          <w:sz w:val="22"/>
          <w:szCs w:val="22"/>
        </w:rPr>
        <w:drawing>
          <wp:inline distT="0" distB="0" distL="0" distR="0" wp14:anchorId="21BF3E5B">
            <wp:extent cx="6308468" cy="2555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2804" cy="2557440"/>
                    </a:xfrm>
                    <a:prstGeom prst="rect">
                      <a:avLst/>
                    </a:prstGeom>
                    <a:noFill/>
                  </pic:spPr>
                </pic:pic>
              </a:graphicData>
            </a:graphic>
          </wp:inline>
        </w:drawing>
      </w:r>
    </w:p>
    <w:p w:rsidR="00E34F79" w:rsidRPr="00F310D2" w:rsidRDefault="00E34F79" w:rsidP="00594D90">
      <w:pPr>
        <w:widowControl w:val="0"/>
        <w:autoSpaceDE w:val="0"/>
        <w:autoSpaceDN w:val="0"/>
        <w:adjustRightInd w:val="0"/>
        <w:rPr>
          <w:rFonts w:ascii="Arial" w:hAnsi="Arial" w:cs="Arial"/>
          <w:sz w:val="22"/>
          <w:szCs w:val="22"/>
        </w:rPr>
      </w:pPr>
    </w:p>
    <w:p w:rsidR="00DA51CD" w:rsidRPr="00DA51CD" w:rsidRDefault="00594D90" w:rsidP="00DA51CD">
      <w:pPr>
        <w:widowControl w:val="0"/>
        <w:autoSpaceDE w:val="0"/>
        <w:autoSpaceDN w:val="0"/>
        <w:adjustRightInd w:val="0"/>
        <w:ind w:left="709" w:hanging="425"/>
        <w:rPr>
          <w:rFonts w:ascii="Arial" w:hAnsi="Arial" w:cs="Arial"/>
          <w:sz w:val="22"/>
          <w:szCs w:val="22"/>
        </w:rPr>
      </w:pPr>
      <w:r w:rsidRPr="00F310D2">
        <w:rPr>
          <w:rFonts w:ascii="Arial" w:hAnsi="Arial" w:cs="Arial"/>
          <w:sz w:val="22"/>
          <w:szCs w:val="22"/>
        </w:rPr>
        <w:t>2.</w:t>
      </w:r>
      <w:r w:rsidR="006D068A">
        <w:rPr>
          <w:rFonts w:ascii="Arial" w:hAnsi="Arial" w:cs="Arial"/>
          <w:sz w:val="22"/>
          <w:szCs w:val="22"/>
        </w:rPr>
        <w:t>7</w:t>
      </w:r>
      <w:r w:rsidR="00DA51CD">
        <w:rPr>
          <w:rFonts w:ascii="Arial" w:hAnsi="Arial" w:cs="Arial"/>
          <w:sz w:val="22"/>
          <w:szCs w:val="22"/>
        </w:rPr>
        <w:tab/>
      </w:r>
      <w:r w:rsidR="00DA51CD" w:rsidRPr="00DA51CD">
        <w:rPr>
          <w:rFonts w:ascii="Arial" w:hAnsi="Arial" w:cs="Arial"/>
          <w:sz w:val="22"/>
          <w:szCs w:val="22"/>
        </w:rPr>
        <w:t>Over the first quarter of 2015/16 net arrears f</w:t>
      </w:r>
      <w:r w:rsidR="00C73B7E">
        <w:rPr>
          <w:rFonts w:ascii="Arial" w:hAnsi="Arial" w:cs="Arial"/>
          <w:sz w:val="22"/>
          <w:szCs w:val="22"/>
        </w:rPr>
        <w:t>e</w:t>
      </w:r>
      <w:r w:rsidR="00DA51CD" w:rsidRPr="00DA51CD">
        <w:rPr>
          <w:rFonts w:ascii="Arial" w:hAnsi="Arial" w:cs="Arial"/>
          <w:sz w:val="22"/>
          <w:szCs w:val="22"/>
        </w:rPr>
        <w:t>ll by £</w:t>
      </w:r>
      <w:r w:rsidR="00DA51CD">
        <w:rPr>
          <w:rFonts w:ascii="Arial" w:hAnsi="Arial" w:cs="Arial"/>
          <w:sz w:val="22"/>
          <w:szCs w:val="22"/>
        </w:rPr>
        <w:t>0.</w:t>
      </w:r>
      <w:r w:rsidR="00DA51CD" w:rsidRPr="00DA51CD">
        <w:rPr>
          <w:rFonts w:ascii="Arial" w:hAnsi="Arial" w:cs="Arial"/>
          <w:sz w:val="22"/>
          <w:szCs w:val="22"/>
        </w:rPr>
        <w:t>102</w:t>
      </w:r>
      <w:r w:rsidR="00DA51CD">
        <w:rPr>
          <w:rFonts w:ascii="Arial" w:hAnsi="Arial" w:cs="Arial"/>
          <w:sz w:val="22"/>
          <w:szCs w:val="22"/>
        </w:rPr>
        <w:t xml:space="preserve"> million</w:t>
      </w:r>
      <w:r w:rsidR="00DA51CD" w:rsidRPr="00DA51CD">
        <w:rPr>
          <w:rFonts w:ascii="Arial" w:hAnsi="Arial" w:cs="Arial"/>
          <w:sz w:val="22"/>
          <w:szCs w:val="22"/>
        </w:rPr>
        <w:t xml:space="preserve"> with the end of June figure being £2</w:t>
      </w:r>
      <w:r w:rsidR="00DA51CD">
        <w:rPr>
          <w:rFonts w:ascii="Arial" w:hAnsi="Arial" w:cs="Arial"/>
          <w:sz w:val="22"/>
          <w:szCs w:val="22"/>
        </w:rPr>
        <w:t>.</w:t>
      </w:r>
      <w:r w:rsidR="00DA51CD" w:rsidRPr="00DA51CD">
        <w:rPr>
          <w:rFonts w:ascii="Arial" w:hAnsi="Arial" w:cs="Arial"/>
          <w:sz w:val="22"/>
          <w:szCs w:val="22"/>
        </w:rPr>
        <w:t>367</w:t>
      </w:r>
      <w:r w:rsidR="00DA51CD">
        <w:rPr>
          <w:rFonts w:ascii="Arial" w:hAnsi="Arial" w:cs="Arial"/>
          <w:sz w:val="22"/>
          <w:szCs w:val="22"/>
        </w:rPr>
        <w:t xml:space="preserve"> million</w:t>
      </w:r>
      <w:r w:rsidR="00DA51CD" w:rsidRPr="00DA51CD">
        <w:rPr>
          <w:rFonts w:ascii="Arial" w:hAnsi="Arial" w:cs="Arial"/>
          <w:sz w:val="22"/>
          <w:szCs w:val="22"/>
        </w:rPr>
        <w:t>.</w:t>
      </w:r>
      <w:r w:rsidR="00DA51CD">
        <w:rPr>
          <w:rFonts w:ascii="Arial" w:hAnsi="Arial" w:cs="Arial"/>
          <w:sz w:val="22"/>
          <w:szCs w:val="22"/>
        </w:rPr>
        <w:t xml:space="preserve">  </w:t>
      </w:r>
      <w:r w:rsidR="00DA51CD" w:rsidRPr="00DA51CD">
        <w:rPr>
          <w:rFonts w:ascii="Arial" w:hAnsi="Arial" w:cs="Arial"/>
          <w:sz w:val="22"/>
          <w:szCs w:val="22"/>
        </w:rPr>
        <w:t>This is 28.5% less than the figure 12 months ago</w:t>
      </w:r>
      <w:r w:rsidR="00DA51CD">
        <w:rPr>
          <w:rFonts w:ascii="Arial" w:hAnsi="Arial" w:cs="Arial"/>
          <w:sz w:val="22"/>
          <w:szCs w:val="22"/>
        </w:rPr>
        <w:t>.</w:t>
      </w:r>
    </w:p>
    <w:p w:rsidR="00DA51CD" w:rsidRPr="00DA51CD" w:rsidRDefault="00DA51CD" w:rsidP="00DA51CD">
      <w:pPr>
        <w:widowControl w:val="0"/>
        <w:autoSpaceDE w:val="0"/>
        <w:autoSpaceDN w:val="0"/>
        <w:adjustRightInd w:val="0"/>
        <w:ind w:left="709" w:hanging="425"/>
        <w:rPr>
          <w:rFonts w:ascii="Arial" w:hAnsi="Arial" w:cs="Arial"/>
          <w:sz w:val="22"/>
          <w:szCs w:val="22"/>
        </w:rPr>
      </w:pPr>
    </w:p>
    <w:p w:rsidR="00594D90" w:rsidRPr="00F310D2" w:rsidRDefault="00594D90" w:rsidP="00594D90">
      <w:pPr>
        <w:widowControl w:val="0"/>
        <w:autoSpaceDE w:val="0"/>
        <w:autoSpaceDN w:val="0"/>
        <w:adjustRightInd w:val="0"/>
        <w:ind w:left="709" w:hanging="425"/>
        <w:rPr>
          <w:rFonts w:ascii="Arial" w:hAnsi="Arial" w:cs="Arial"/>
          <w:sz w:val="22"/>
          <w:szCs w:val="22"/>
        </w:rPr>
      </w:pPr>
      <w:r w:rsidRPr="00F310D2">
        <w:rPr>
          <w:rFonts w:ascii="Arial" w:hAnsi="Arial" w:cs="Arial"/>
          <w:sz w:val="22"/>
          <w:szCs w:val="22"/>
        </w:rPr>
        <w:t>2.</w:t>
      </w:r>
      <w:r w:rsidR="006D068A">
        <w:rPr>
          <w:rFonts w:ascii="Arial" w:hAnsi="Arial" w:cs="Arial"/>
          <w:sz w:val="22"/>
          <w:szCs w:val="22"/>
        </w:rPr>
        <w:t>8</w:t>
      </w:r>
      <w:r w:rsidRPr="00F310D2">
        <w:rPr>
          <w:rFonts w:ascii="Arial" w:hAnsi="Arial" w:cs="Arial"/>
          <w:sz w:val="22"/>
          <w:szCs w:val="22"/>
        </w:rPr>
        <w:tab/>
      </w:r>
      <w:r w:rsidR="00DA51CD" w:rsidRPr="00DA51CD">
        <w:rPr>
          <w:rFonts w:ascii="Arial" w:hAnsi="Arial" w:cs="Arial"/>
          <w:sz w:val="22"/>
          <w:szCs w:val="22"/>
        </w:rPr>
        <w:t xml:space="preserve">The </w:t>
      </w:r>
      <w:r w:rsidR="00DA51CD">
        <w:rPr>
          <w:rFonts w:ascii="Arial" w:hAnsi="Arial" w:cs="Arial"/>
          <w:sz w:val="22"/>
          <w:szCs w:val="22"/>
        </w:rPr>
        <w:t>20</w:t>
      </w:r>
      <w:r w:rsidR="00DA51CD" w:rsidRPr="00DA51CD">
        <w:rPr>
          <w:rFonts w:ascii="Arial" w:hAnsi="Arial" w:cs="Arial"/>
          <w:sz w:val="22"/>
          <w:szCs w:val="22"/>
        </w:rPr>
        <w:t xml:space="preserve">15/16 collection rate </w:t>
      </w:r>
      <w:r w:rsidR="00DA51CD">
        <w:rPr>
          <w:rFonts w:ascii="Arial" w:hAnsi="Arial" w:cs="Arial"/>
          <w:sz w:val="22"/>
          <w:szCs w:val="22"/>
        </w:rPr>
        <w:t xml:space="preserve">was </w:t>
      </w:r>
      <w:r w:rsidR="00DA51CD" w:rsidRPr="00DA51CD">
        <w:rPr>
          <w:rFonts w:ascii="Arial" w:hAnsi="Arial" w:cs="Arial"/>
          <w:sz w:val="22"/>
          <w:szCs w:val="22"/>
        </w:rPr>
        <w:t xml:space="preserve">31.84% </w:t>
      </w:r>
      <w:r w:rsidR="00DA51CD">
        <w:rPr>
          <w:rFonts w:ascii="Arial" w:hAnsi="Arial" w:cs="Arial"/>
          <w:sz w:val="22"/>
          <w:szCs w:val="22"/>
        </w:rPr>
        <w:t xml:space="preserve">at the end of the quarter which is better than the </w:t>
      </w:r>
      <w:r w:rsidR="00DA51CD" w:rsidRPr="00DA51CD">
        <w:rPr>
          <w:rFonts w:ascii="Arial" w:hAnsi="Arial" w:cs="Arial"/>
          <w:sz w:val="22"/>
          <w:szCs w:val="22"/>
        </w:rPr>
        <w:t xml:space="preserve">profiled target of 30% and </w:t>
      </w:r>
      <w:r w:rsidR="00DA51CD">
        <w:rPr>
          <w:rFonts w:ascii="Arial" w:hAnsi="Arial" w:cs="Arial"/>
          <w:sz w:val="22"/>
          <w:szCs w:val="22"/>
        </w:rPr>
        <w:t xml:space="preserve">an improvement </w:t>
      </w:r>
      <w:r w:rsidR="00DA51CD" w:rsidRPr="00DA51CD">
        <w:rPr>
          <w:rFonts w:ascii="Arial" w:hAnsi="Arial" w:cs="Arial"/>
          <w:sz w:val="22"/>
          <w:szCs w:val="22"/>
        </w:rPr>
        <w:t xml:space="preserve">on </w:t>
      </w:r>
      <w:r w:rsidR="00DA51CD">
        <w:rPr>
          <w:rFonts w:ascii="Arial" w:hAnsi="Arial" w:cs="Arial"/>
          <w:sz w:val="22"/>
          <w:szCs w:val="22"/>
        </w:rPr>
        <w:t xml:space="preserve">the previous </w:t>
      </w:r>
      <w:r w:rsidR="00DA51CD" w:rsidRPr="00DA51CD">
        <w:rPr>
          <w:rFonts w:ascii="Arial" w:hAnsi="Arial" w:cs="Arial"/>
          <w:sz w:val="22"/>
          <w:szCs w:val="22"/>
        </w:rPr>
        <w:t xml:space="preserve">year's equivalent of 31.04%. </w:t>
      </w:r>
      <w:r w:rsidR="009E2D3A">
        <w:rPr>
          <w:rFonts w:ascii="Arial" w:hAnsi="Arial" w:cs="Arial"/>
          <w:sz w:val="22"/>
          <w:szCs w:val="22"/>
        </w:rPr>
        <w:t xml:space="preserve"> </w:t>
      </w:r>
      <w:r w:rsidR="00DA51CD" w:rsidRPr="00DA51CD">
        <w:rPr>
          <w:rFonts w:ascii="Arial" w:hAnsi="Arial" w:cs="Arial"/>
          <w:sz w:val="22"/>
          <w:szCs w:val="22"/>
        </w:rPr>
        <w:t xml:space="preserve">June in particular was a good month with 9.49% of the year's collectable debit being recovered within the month. </w:t>
      </w:r>
      <w:r w:rsidR="009E2D3A">
        <w:rPr>
          <w:rFonts w:ascii="Arial" w:hAnsi="Arial" w:cs="Arial"/>
          <w:sz w:val="22"/>
          <w:szCs w:val="22"/>
        </w:rPr>
        <w:t xml:space="preserve"> T</w:t>
      </w:r>
      <w:r w:rsidR="00DA51CD" w:rsidRPr="00DA51CD">
        <w:rPr>
          <w:rFonts w:ascii="Arial" w:hAnsi="Arial" w:cs="Arial"/>
          <w:sz w:val="22"/>
          <w:szCs w:val="22"/>
        </w:rPr>
        <w:t xml:space="preserve">he collection rate for 2014/15 has moved on from 98.80% at </w:t>
      </w:r>
      <w:r w:rsidR="009E2D3A">
        <w:rPr>
          <w:rFonts w:ascii="Arial" w:hAnsi="Arial" w:cs="Arial"/>
          <w:sz w:val="22"/>
          <w:szCs w:val="22"/>
        </w:rPr>
        <w:t>the end of 2014/15</w:t>
      </w:r>
      <w:r w:rsidR="00DA51CD" w:rsidRPr="00DA51CD">
        <w:rPr>
          <w:rFonts w:ascii="Arial" w:hAnsi="Arial" w:cs="Arial"/>
          <w:sz w:val="22"/>
          <w:szCs w:val="22"/>
        </w:rPr>
        <w:t xml:space="preserve"> to 98.93% three months later.</w:t>
      </w:r>
    </w:p>
    <w:p w:rsidR="00594D90" w:rsidRPr="00F310D2" w:rsidRDefault="00594D90" w:rsidP="00AF4C58">
      <w:pPr>
        <w:widowControl w:val="0"/>
        <w:autoSpaceDE w:val="0"/>
        <w:autoSpaceDN w:val="0"/>
        <w:adjustRightInd w:val="0"/>
        <w:rPr>
          <w:rFonts w:ascii="Arial" w:hAnsi="Arial" w:cs="Arial"/>
          <w:sz w:val="22"/>
          <w:szCs w:val="22"/>
        </w:rPr>
      </w:pPr>
    </w:p>
    <w:p w:rsidR="00AF4C58" w:rsidRPr="00F310D2" w:rsidRDefault="00AF4C58" w:rsidP="00F80153">
      <w:pPr>
        <w:widowControl w:val="0"/>
        <w:autoSpaceDE w:val="0"/>
        <w:autoSpaceDN w:val="0"/>
        <w:adjustRightInd w:val="0"/>
        <w:ind w:left="709"/>
        <w:rPr>
          <w:rFonts w:ascii="Arial" w:hAnsi="Arial" w:cs="Arial"/>
          <w:sz w:val="22"/>
          <w:szCs w:val="22"/>
          <w:u w:val="single"/>
        </w:rPr>
      </w:pPr>
      <w:r w:rsidRPr="00F310D2">
        <w:rPr>
          <w:rFonts w:ascii="Arial" w:hAnsi="Arial" w:cs="Arial"/>
          <w:sz w:val="22"/>
          <w:szCs w:val="22"/>
          <w:u w:val="single"/>
        </w:rPr>
        <w:t>Council Tax Arrears Collection</w:t>
      </w:r>
    </w:p>
    <w:p w:rsidR="00AF4C58" w:rsidRPr="00F310D2" w:rsidRDefault="00AF4C58" w:rsidP="00AF4C58">
      <w:pPr>
        <w:widowControl w:val="0"/>
        <w:autoSpaceDE w:val="0"/>
        <w:autoSpaceDN w:val="0"/>
        <w:adjustRightInd w:val="0"/>
        <w:rPr>
          <w:rFonts w:ascii="Arial" w:hAnsi="Arial" w:cs="Arial"/>
          <w:sz w:val="22"/>
          <w:szCs w:val="22"/>
        </w:rPr>
      </w:pPr>
    </w:p>
    <w:p w:rsidR="009E2D3A" w:rsidRPr="009E2D3A" w:rsidRDefault="00F544E6" w:rsidP="009E2D3A">
      <w:pPr>
        <w:ind w:left="709" w:hanging="425"/>
        <w:rPr>
          <w:rFonts w:ascii="Arial" w:hAnsi="Arial" w:cs="Arial"/>
          <w:sz w:val="22"/>
          <w:szCs w:val="22"/>
        </w:rPr>
      </w:pPr>
      <w:r>
        <w:rPr>
          <w:rFonts w:ascii="Arial" w:hAnsi="Arial" w:cs="Arial"/>
          <w:sz w:val="22"/>
          <w:szCs w:val="22"/>
        </w:rPr>
        <w:t>2.</w:t>
      </w:r>
      <w:r w:rsidR="000F2A8B">
        <w:rPr>
          <w:rFonts w:ascii="Arial" w:hAnsi="Arial" w:cs="Arial"/>
          <w:sz w:val="22"/>
          <w:szCs w:val="22"/>
        </w:rPr>
        <w:t>9</w:t>
      </w:r>
      <w:r w:rsidRPr="00281C5C">
        <w:rPr>
          <w:rFonts w:ascii="Arial" w:hAnsi="Arial" w:cs="Arial"/>
          <w:sz w:val="22"/>
          <w:szCs w:val="22"/>
        </w:rPr>
        <w:tab/>
      </w:r>
      <w:r w:rsidR="009E2D3A" w:rsidRPr="009E2D3A">
        <w:rPr>
          <w:rFonts w:ascii="Arial" w:hAnsi="Arial" w:cs="Arial"/>
          <w:sz w:val="22"/>
          <w:szCs w:val="22"/>
        </w:rPr>
        <w:t xml:space="preserve">Arrears of Council Tax (i.e. payments due for years 1993-94 up to 2014/15) carried forward on </w:t>
      </w:r>
      <w:r w:rsidR="009E2D3A">
        <w:rPr>
          <w:rFonts w:ascii="Arial" w:hAnsi="Arial" w:cs="Arial"/>
          <w:sz w:val="22"/>
          <w:szCs w:val="22"/>
        </w:rPr>
        <w:t>1</w:t>
      </w:r>
      <w:r w:rsidR="009E2D3A" w:rsidRPr="009E2D3A">
        <w:rPr>
          <w:rFonts w:ascii="Arial" w:hAnsi="Arial" w:cs="Arial"/>
          <w:sz w:val="22"/>
          <w:szCs w:val="22"/>
          <w:vertAlign w:val="superscript"/>
        </w:rPr>
        <w:t>st</w:t>
      </w:r>
      <w:r w:rsidR="009E2D3A">
        <w:rPr>
          <w:rFonts w:ascii="Arial" w:hAnsi="Arial" w:cs="Arial"/>
          <w:sz w:val="22"/>
          <w:szCs w:val="22"/>
        </w:rPr>
        <w:t xml:space="preserve"> April 2015</w:t>
      </w:r>
      <w:r w:rsidR="009E2D3A" w:rsidRPr="009E2D3A">
        <w:rPr>
          <w:rFonts w:ascii="Arial" w:hAnsi="Arial" w:cs="Arial"/>
          <w:sz w:val="22"/>
          <w:szCs w:val="22"/>
        </w:rPr>
        <w:t xml:space="preserve"> were £5</w:t>
      </w:r>
      <w:r w:rsidR="009E2D3A">
        <w:rPr>
          <w:rFonts w:ascii="Arial" w:hAnsi="Arial" w:cs="Arial"/>
          <w:sz w:val="22"/>
          <w:szCs w:val="22"/>
        </w:rPr>
        <w:t>.</w:t>
      </w:r>
      <w:r w:rsidR="009E2D3A" w:rsidRPr="009E2D3A">
        <w:rPr>
          <w:rFonts w:ascii="Arial" w:hAnsi="Arial" w:cs="Arial"/>
          <w:sz w:val="22"/>
          <w:szCs w:val="22"/>
        </w:rPr>
        <w:t>392</w:t>
      </w:r>
      <w:r w:rsidR="009E2D3A">
        <w:rPr>
          <w:rFonts w:ascii="Arial" w:hAnsi="Arial" w:cs="Arial"/>
          <w:sz w:val="22"/>
          <w:szCs w:val="22"/>
        </w:rPr>
        <w:t xml:space="preserve"> million</w:t>
      </w:r>
      <w:r w:rsidR="009E2D3A" w:rsidRPr="009E2D3A">
        <w:rPr>
          <w:rFonts w:ascii="Arial" w:hAnsi="Arial" w:cs="Arial"/>
          <w:sz w:val="22"/>
          <w:szCs w:val="22"/>
        </w:rPr>
        <w:t>, a 21.4% decrease on the corresponding figure 12 months earlier. That total included outstanding Court Costs of £</w:t>
      </w:r>
      <w:r w:rsidR="009E2D3A">
        <w:rPr>
          <w:rFonts w:ascii="Arial" w:hAnsi="Arial" w:cs="Arial"/>
          <w:sz w:val="22"/>
          <w:szCs w:val="22"/>
        </w:rPr>
        <w:t>0.</w:t>
      </w:r>
      <w:r w:rsidR="009E2D3A" w:rsidRPr="009E2D3A">
        <w:rPr>
          <w:rFonts w:ascii="Arial" w:hAnsi="Arial" w:cs="Arial"/>
          <w:sz w:val="22"/>
          <w:szCs w:val="22"/>
        </w:rPr>
        <w:t>378</w:t>
      </w:r>
      <w:r w:rsidR="009E2D3A">
        <w:rPr>
          <w:rFonts w:ascii="Arial" w:hAnsi="Arial" w:cs="Arial"/>
          <w:sz w:val="22"/>
          <w:szCs w:val="22"/>
        </w:rPr>
        <w:t xml:space="preserve"> million.</w:t>
      </w:r>
    </w:p>
    <w:p w:rsidR="00F544E6" w:rsidRPr="00281C5C" w:rsidRDefault="00F544E6" w:rsidP="00F544E6">
      <w:pPr>
        <w:rPr>
          <w:rFonts w:ascii="Arial" w:hAnsi="Arial" w:cs="Arial"/>
          <w:sz w:val="22"/>
          <w:szCs w:val="22"/>
        </w:rPr>
      </w:pPr>
    </w:p>
    <w:p w:rsidR="00F80153" w:rsidRPr="00F310D2" w:rsidRDefault="00EC585D" w:rsidP="00F80153">
      <w:pPr>
        <w:widowControl w:val="0"/>
        <w:autoSpaceDE w:val="0"/>
        <w:autoSpaceDN w:val="0"/>
        <w:adjustRightInd w:val="0"/>
        <w:ind w:left="720"/>
        <w:rPr>
          <w:rFonts w:ascii="Arial" w:hAnsi="Arial" w:cs="Arial"/>
          <w:sz w:val="22"/>
          <w:szCs w:val="22"/>
        </w:rPr>
      </w:pPr>
      <w:r>
        <w:rPr>
          <w:rFonts w:ascii="Arial" w:hAnsi="Arial" w:cs="Arial"/>
          <w:noProof/>
          <w:sz w:val="22"/>
          <w:szCs w:val="22"/>
        </w:rPr>
        <w:drawing>
          <wp:inline distT="0" distB="0" distL="0" distR="0" wp14:anchorId="3A74D6C9">
            <wp:extent cx="6413500" cy="3066415"/>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0" cy="3066415"/>
                    </a:xfrm>
                    <a:prstGeom prst="rect">
                      <a:avLst/>
                    </a:prstGeom>
                    <a:noFill/>
                  </pic:spPr>
                </pic:pic>
              </a:graphicData>
            </a:graphic>
          </wp:inline>
        </w:drawing>
      </w:r>
    </w:p>
    <w:p w:rsidR="00F80153" w:rsidRPr="00F310D2" w:rsidRDefault="00F80153" w:rsidP="00F80153">
      <w:pPr>
        <w:widowControl w:val="0"/>
        <w:autoSpaceDE w:val="0"/>
        <w:autoSpaceDN w:val="0"/>
        <w:adjustRightInd w:val="0"/>
        <w:rPr>
          <w:rFonts w:ascii="Arial" w:hAnsi="Arial" w:cs="Arial"/>
          <w:sz w:val="22"/>
          <w:szCs w:val="22"/>
        </w:rPr>
      </w:pPr>
    </w:p>
    <w:p w:rsidR="009E2D3A" w:rsidRPr="009E2D3A" w:rsidRDefault="00F80153" w:rsidP="009E2D3A">
      <w:pPr>
        <w:widowControl w:val="0"/>
        <w:autoSpaceDE w:val="0"/>
        <w:autoSpaceDN w:val="0"/>
        <w:adjustRightInd w:val="0"/>
        <w:ind w:left="709" w:hanging="425"/>
        <w:rPr>
          <w:rFonts w:ascii="Arial" w:hAnsi="Arial" w:cs="Arial"/>
          <w:sz w:val="22"/>
          <w:szCs w:val="22"/>
        </w:rPr>
      </w:pPr>
      <w:r w:rsidRPr="00F310D2">
        <w:rPr>
          <w:rFonts w:ascii="Arial" w:hAnsi="Arial" w:cs="Arial"/>
          <w:sz w:val="22"/>
          <w:szCs w:val="22"/>
        </w:rPr>
        <w:t>2.</w:t>
      </w:r>
      <w:r w:rsidR="000F2A8B">
        <w:rPr>
          <w:rFonts w:ascii="Arial" w:hAnsi="Arial" w:cs="Arial"/>
          <w:sz w:val="22"/>
          <w:szCs w:val="22"/>
        </w:rPr>
        <w:t>10</w:t>
      </w:r>
      <w:r w:rsidRPr="00F310D2">
        <w:rPr>
          <w:rFonts w:ascii="Arial" w:hAnsi="Arial" w:cs="Arial"/>
          <w:sz w:val="22"/>
          <w:szCs w:val="22"/>
        </w:rPr>
        <w:tab/>
      </w:r>
      <w:r w:rsidR="009E2D3A" w:rsidRPr="009E2D3A">
        <w:rPr>
          <w:rFonts w:ascii="Arial" w:hAnsi="Arial" w:cs="Arial"/>
          <w:sz w:val="22"/>
          <w:szCs w:val="22"/>
        </w:rPr>
        <w:t>Over the first quarter of 2015/16 arrears fell by £</w:t>
      </w:r>
      <w:r w:rsidR="009E2D3A">
        <w:rPr>
          <w:rFonts w:ascii="Arial" w:hAnsi="Arial" w:cs="Arial"/>
          <w:sz w:val="22"/>
          <w:szCs w:val="22"/>
        </w:rPr>
        <w:t>0.</w:t>
      </w:r>
      <w:r w:rsidR="009E2D3A" w:rsidRPr="009E2D3A">
        <w:rPr>
          <w:rFonts w:ascii="Arial" w:hAnsi="Arial" w:cs="Arial"/>
          <w:sz w:val="22"/>
          <w:szCs w:val="22"/>
        </w:rPr>
        <w:t>674</w:t>
      </w:r>
      <w:r w:rsidR="009E2D3A">
        <w:rPr>
          <w:rFonts w:ascii="Arial" w:hAnsi="Arial" w:cs="Arial"/>
          <w:sz w:val="22"/>
          <w:szCs w:val="22"/>
        </w:rPr>
        <w:t xml:space="preserve"> million</w:t>
      </w:r>
      <w:r w:rsidR="009E2D3A" w:rsidRPr="009E2D3A">
        <w:rPr>
          <w:rFonts w:ascii="Arial" w:hAnsi="Arial" w:cs="Arial"/>
          <w:sz w:val="22"/>
          <w:szCs w:val="22"/>
        </w:rPr>
        <w:t xml:space="preserve"> </w:t>
      </w:r>
      <w:r w:rsidR="009E2D3A">
        <w:rPr>
          <w:rFonts w:ascii="Arial" w:hAnsi="Arial" w:cs="Arial"/>
          <w:sz w:val="22"/>
          <w:szCs w:val="22"/>
        </w:rPr>
        <w:t xml:space="preserve">to £4.718 million </w:t>
      </w:r>
      <w:r w:rsidR="009E2D3A" w:rsidRPr="009E2D3A">
        <w:rPr>
          <w:rFonts w:ascii="Arial" w:hAnsi="Arial" w:cs="Arial"/>
          <w:sz w:val="22"/>
          <w:szCs w:val="22"/>
        </w:rPr>
        <w:t>(includ</w:t>
      </w:r>
      <w:r w:rsidR="009E2D3A">
        <w:rPr>
          <w:rFonts w:ascii="Arial" w:hAnsi="Arial" w:cs="Arial"/>
          <w:sz w:val="22"/>
          <w:szCs w:val="22"/>
        </w:rPr>
        <w:t>ing</w:t>
      </w:r>
      <w:r w:rsidR="009E2D3A" w:rsidRPr="009E2D3A">
        <w:rPr>
          <w:rFonts w:ascii="Arial" w:hAnsi="Arial" w:cs="Arial"/>
          <w:sz w:val="22"/>
          <w:szCs w:val="22"/>
        </w:rPr>
        <w:t xml:space="preserve"> Court Costs of £</w:t>
      </w:r>
      <w:r w:rsidR="009E2D3A">
        <w:rPr>
          <w:rFonts w:ascii="Arial" w:hAnsi="Arial" w:cs="Arial"/>
          <w:sz w:val="22"/>
          <w:szCs w:val="22"/>
        </w:rPr>
        <w:t>0.</w:t>
      </w:r>
      <w:r w:rsidR="009E2D3A" w:rsidRPr="009E2D3A">
        <w:rPr>
          <w:rFonts w:ascii="Arial" w:hAnsi="Arial" w:cs="Arial"/>
          <w:sz w:val="22"/>
          <w:szCs w:val="22"/>
        </w:rPr>
        <w:t>512</w:t>
      </w:r>
      <w:r w:rsidR="009E2D3A">
        <w:rPr>
          <w:rFonts w:ascii="Arial" w:hAnsi="Arial" w:cs="Arial"/>
          <w:sz w:val="22"/>
          <w:szCs w:val="22"/>
        </w:rPr>
        <w:t xml:space="preserve"> million</w:t>
      </w:r>
      <w:r w:rsidR="009E2D3A" w:rsidRPr="009E2D3A">
        <w:rPr>
          <w:rFonts w:ascii="Arial" w:hAnsi="Arial" w:cs="Arial"/>
          <w:sz w:val="22"/>
          <w:szCs w:val="22"/>
        </w:rPr>
        <w:t>)</w:t>
      </w:r>
      <w:r w:rsidR="00B21401">
        <w:rPr>
          <w:rFonts w:ascii="Arial" w:hAnsi="Arial" w:cs="Arial"/>
          <w:sz w:val="22"/>
          <w:szCs w:val="22"/>
        </w:rPr>
        <w:t>, a</w:t>
      </w:r>
      <w:r w:rsidR="00902D71">
        <w:rPr>
          <w:rFonts w:ascii="Arial" w:hAnsi="Arial" w:cs="Arial"/>
          <w:sz w:val="22"/>
          <w:szCs w:val="22"/>
        </w:rPr>
        <w:t xml:space="preserve"> </w:t>
      </w:r>
      <w:r w:rsidR="009E2D3A" w:rsidRPr="009E2D3A">
        <w:rPr>
          <w:rFonts w:ascii="Arial" w:hAnsi="Arial" w:cs="Arial"/>
          <w:sz w:val="22"/>
          <w:szCs w:val="22"/>
        </w:rPr>
        <w:t xml:space="preserve">21.8% </w:t>
      </w:r>
      <w:r w:rsidR="00902D71">
        <w:rPr>
          <w:rFonts w:ascii="Arial" w:hAnsi="Arial" w:cs="Arial"/>
          <w:sz w:val="22"/>
          <w:szCs w:val="22"/>
        </w:rPr>
        <w:t xml:space="preserve">improvement on the </w:t>
      </w:r>
      <w:r w:rsidR="00B21401">
        <w:rPr>
          <w:rFonts w:ascii="Arial" w:hAnsi="Arial" w:cs="Arial"/>
          <w:sz w:val="22"/>
          <w:szCs w:val="22"/>
        </w:rPr>
        <w:t>level of arrears</w:t>
      </w:r>
      <w:r w:rsidR="00B21401" w:rsidRPr="009E2D3A">
        <w:rPr>
          <w:rFonts w:ascii="Arial" w:hAnsi="Arial" w:cs="Arial"/>
          <w:sz w:val="22"/>
          <w:szCs w:val="22"/>
        </w:rPr>
        <w:t xml:space="preserve"> </w:t>
      </w:r>
      <w:r w:rsidR="009E2D3A" w:rsidRPr="009E2D3A">
        <w:rPr>
          <w:rFonts w:ascii="Arial" w:hAnsi="Arial" w:cs="Arial"/>
          <w:sz w:val="22"/>
          <w:szCs w:val="22"/>
        </w:rPr>
        <w:t>12 months</w:t>
      </w:r>
      <w:r w:rsidR="00B21401">
        <w:rPr>
          <w:rFonts w:ascii="Arial" w:hAnsi="Arial" w:cs="Arial"/>
          <w:sz w:val="22"/>
          <w:szCs w:val="22"/>
        </w:rPr>
        <w:t xml:space="preserve"> before</w:t>
      </w:r>
      <w:r w:rsidR="009E2D3A" w:rsidRPr="009E2D3A">
        <w:rPr>
          <w:rFonts w:ascii="Arial" w:hAnsi="Arial" w:cs="Arial"/>
          <w:sz w:val="22"/>
          <w:szCs w:val="22"/>
        </w:rPr>
        <w:t>. Payments (net of refunds) received in the first quarter totalled £</w:t>
      </w:r>
      <w:r w:rsidR="009E2D3A">
        <w:rPr>
          <w:rFonts w:ascii="Arial" w:hAnsi="Arial" w:cs="Arial"/>
          <w:sz w:val="22"/>
          <w:szCs w:val="22"/>
        </w:rPr>
        <w:t>0.</w:t>
      </w:r>
      <w:r w:rsidR="009E2D3A" w:rsidRPr="009E2D3A">
        <w:rPr>
          <w:rFonts w:ascii="Arial" w:hAnsi="Arial" w:cs="Arial"/>
          <w:sz w:val="22"/>
          <w:szCs w:val="22"/>
        </w:rPr>
        <w:t>687</w:t>
      </w:r>
      <w:r w:rsidR="009E2D3A">
        <w:rPr>
          <w:rFonts w:ascii="Arial" w:hAnsi="Arial" w:cs="Arial"/>
          <w:sz w:val="22"/>
          <w:szCs w:val="22"/>
        </w:rPr>
        <w:t xml:space="preserve"> million</w:t>
      </w:r>
      <w:r w:rsidR="009E2D3A" w:rsidRPr="009E2D3A">
        <w:rPr>
          <w:rFonts w:ascii="Arial" w:hAnsi="Arial" w:cs="Arial"/>
          <w:sz w:val="22"/>
          <w:szCs w:val="22"/>
        </w:rPr>
        <w:t xml:space="preserve"> and write offs of £</w:t>
      </w:r>
      <w:r w:rsidR="009E2D3A">
        <w:rPr>
          <w:rFonts w:ascii="Arial" w:hAnsi="Arial" w:cs="Arial"/>
          <w:sz w:val="22"/>
          <w:szCs w:val="22"/>
        </w:rPr>
        <w:t>0.0</w:t>
      </w:r>
      <w:r w:rsidR="009E2D3A" w:rsidRPr="009E2D3A">
        <w:rPr>
          <w:rFonts w:ascii="Arial" w:hAnsi="Arial" w:cs="Arial"/>
          <w:sz w:val="22"/>
          <w:szCs w:val="22"/>
        </w:rPr>
        <w:t>58</w:t>
      </w:r>
      <w:r w:rsidR="009E2D3A">
        <w:rPr>
          <w:rFonts w:ascii="Arial" w:hAnsi="Arial" w:cs="Arial"/>
          <w:sz w:val="22"/>
          <w:szCs w:val="22"/>
        </w:rPr>
        <w:t xml:space="preserve"> million</w:t>
      </w:r>
      <w:r w:rsidR="009E2D3A" w:rsidRPr="009E2D3A">
        <w:rPr>
          <w:rFonts w:ascii="Arial" w:hAnsi="Arial" w:cs="Arial"/>
          <w:sz w:val="22"/>
          <w:szCs w:val="22"/>
        </w:rPr>
        <w:t xml:space="preserve"> have been processed. Court Costs totalling £</w:t>
      </w:r>
      <w:r w:rsidR="009E2D3A">
        <w:rPr>
          <w:rFonts w:ascii="Arial" w:hAnsi="Arial" w:cs="Arial"/>
          <w:sz w:val="22"/>
          <w:szCs w:val="22"/>
        </w:rPr>
        <w:t>0.0</w:t>
      </w:r>
      <w:r w:rsidR="009E2D3A" w:rsidRPr="009E2D3A">
        <w:rPr>
          <w:rFonts w:ascii="Arial" w:hAnsi="Arial" w:cs="Arial"/>
          <w:sz w:val="22"/>
          <w:szCs w:val="22"/>
        </w:rPr>
        <w:t>46</w:t>
      </w:r>
      <w:r w:rsidR="009E2D3A">
        <w:rPr>
          <w:rFonts w:ascii="Arial" w:hAnsi="Arial" w:cs="Arial"/>
          <w:sz w:val="22"/>
          <w:szCs w:val="22"/>
        </w:rPr>
        <w:t xml:space="preserve"> million</w:t>
      </w:r>
      <w:r w:rsidR="009E2D3A" w:rsidRPr="009E2D3A">
        <w:rPr>
          <w:rFonts w:ascii="Arial" w:hAnsi="Arial" w:cs="Arial"/>
          <w:sz w:val="22"/>
          <w:szCs w:val="22"/>
        </w:rPr>
        <w:t xml:space="preserve"> have been raised in respect of previous years' Council Tax and debit adjustments (cancelling of discounts and exemptions, and banding increases) amounted to £</w:t>
      </w:r>
      <w:r w:rsidR="009E2D3A">
        <w:rPr>
          <w:rFonts w:ascii="Arial" w:hAnsi="Arial" w:cs="Arial"/>
          <w:sz w:val="22"/>
          <w:szCs w:val="22"/>
        </w:rPr>
        <w:t>0.0</w:t>
      </w:r>
      <w:r w:rsidR="009E2D3A" w:rsidRPr="009E2D3A">
        <w:rPr>
          <w:rFonts w:ascii="Arial" w:hAnsi="Arial" w:cs="Arial"/>
          <w:sz w:val="22"/>
          <w:szCs w:val="22"/>
        </w:rPr>
        <w:t>25</w:t>
      </w:r>
      <w:r w:rsidR="009E2D3A">
        <w:rPr>
          <w:rFonts w:ascii="Arial" w:hAnsi="Arial" w:cs="Arial"/>
          <w:sz w:val="22"/>
          <w:szCs w:val="22"/>
        </w:rPr>
        <w:t xml:space="preserve"> million</w:t>
      </w:r>
      <w:r w:rsidR="009E2D3A" w:rsidRPr="009E2D3A">
        <w:rPr>
          <w:rFonts w:ascii="Arial" w:hAnsi="Arial" w:cs="Arial"/>
          <w:sz w:val="22"/>
          <w:szCs w:val="22"/>
        </w:rPr>
        <w:t>.</w:t>
      </w:r>
    </w:p>
    <w:p w:rsidR="00F80153" w:rsidRPr="00F310D2" w:rsidRDefault="00F80153" w:rsidP="00F80153">
      <w:pPr>
        <w:widowControl w:val="0"/>
        <w:autoSpaceDE w:val="0"/>
        <w:autoSpaceDN w:val="0"/>
        <w:adjustRightInd w:val="0"/>
        <w:rPr>
          <w:rFonts w:ascii="Arial" w:hAnsi="Arial" w:cs="Arial"/>
          <w:sz w:val="22"/>
          <w:szCs w:val="22"/>
        </w:rPr>
      </w:pPr>
    </w:p>
    <w:p w:rsidR="00AF4C58" w:rsidRPr="00F310D2" w:rsidRDefault="006D068A" w:rsidP="00F80153">
      <w:pPr>
        <w:widowControl w:val="0"/>
        <w:autoSpaceDE w:val="0"/>
        <w:autoSpaceDN w:val="0"/>
        <w:adjustRightInd w:val="0"/>
        <w:ind w:left="709" w:hanging="425"/>
        <w:rPr>
          <w:rFonts w:ascii="Arial" w:hAnsi="Arial" w:cs="Arial"/>
          <w:sz w:val="22"/>
          <w:szCs w:val="22"/>
        </w:rPr>
      </w:pPr>
      <w:r>
        <w:rPr>
          <w:rFonts w:ascii="Arial" w:hAnsi="Arial" w:cs="Arial"/>
          <w:sz w:val="22"/>
          <w:szCs w:val="22"/>
        </w:rPr>
        <w:t>2.</w:t>
      </w:r>
      <w:r w:rsidR="000F2A8B">
        <w:rPr>
          <w:rFonts w:ascii="Arial" w:hAnsi="Arial" w:cs="Arial"/>
          <w:sz w:val="22"/>
          <w:szCs w:val="22"/>
        </w:rPr>
        <w:t>11</w:t>
      </w:r>
      <w:r w:rsidR="00F80153" w:rsidRPr="00F310D2">
        <w:rPr>
          <w:rFonts w:ascii="Arial" w:hAnsi="Arial" w:cs="Arial"/>
          <w:sz w:val="22"/>
          <w:szCs w:val="22"/>
        </w:rPr>
        <w:tab/>
      </w:r>
      <w:r w:rsidR="009E2D3A" w:rsidRPr="009E2D3A">
        <w:rPr>
          <w:rFonts w:ascii="Arial" w:hAnsi="Arial" w:cs="Arial"/>
          <w:sz w:val="22"/>
          <w:szCs w:val="22"/>
        </w:rPr>
        <w:t xml:space="preserve">The collection rate for 2015/16 at </w:t>
      </w:r>
      <w:r w:rsidR="009E2D3A">
        <w:rPr>
          <w:rFonts w:ascii="Arial" w:hAnsi="Arial" w:cs="Arial"/>
          <w:sz w:val="22"/>
          <w:szCs w:val="22"/>
        </w:rPr>
        <w:t xml:space="preserve">the end of the quarter </w:t>
      </w:r>
      <w:r w:rsidR="009E2D3A" w:rsidRPr="009E2D3A">
        <w:rPr>
          <w:rFonts w:ascii="Arial" w:hAnsi="Arial" w:cs="Arial"/>
          <w:sz w:val="22"/>
          <w:szCs w:val="22"/>
        </w:rPr>
        <w:t xml:space="preserve">was 31.05%. The corresponding figure 12 months </w:t>
      </w:r>
      <w:r w:rsidR="009E2D3A">
        <w:rPr>
          <w:rFonts w:ascii="Arial" w:hAnsi="Arial" w:cs="Arial"/>
          <w:sz w:val="22"/>
          <w:szCs w:val="22"/>
        </w:rPr>
        <w:t>previously</w:t>
      </w:r>
      <w:r w:rsidR="009E2D3A" w:rsidRPr="009E2D3A">
        <w:rPr>
          <w:rFonts w:ascii="Arial" w:hAnsi="Arial" w:cs="Arial"/>
          <w:sz w:val="22"/>
          <w:szCs w:val="22"/>
        </w:rPr>
        <w:t xml:space="preserve"> was 30.97%. </w:t>
      </w:r>
      <w:r w:rsidR="009E2D3A">
        <w:rPr>
          <w:rFonts w:ascii="Arial" w:hAnsi="Arial" w:cs="Arial"/>
          <w:sz w:val="22"/>
          <w:szCs w:val="22"/>
        </w:rPr>
        <w:t xml:space="preserve"> The collection of arrears has exceeded the end of quarter profiled target of 30% by </w:t>
      </w:r>
      <w:r w:rsidR="009E2D3A" w:rsidRPr="009E2D3A">
        <w:rPr>
          <w:rFonts w:ascii="Arial" w:hAnsi="Arial" w:cs="Arial"/>
          <w:sz w:val="22"/>
          <w:szCs w:val="22"/>
        </w:rPr>
        <w:t>£</w:t>
      </w:r>
      <w:r w:rsidR="009E2D3A">
        <w:rPr>
          <w:rFonts w:ascii="Arial" w:hAnsi="Arial" w:cs="Arial"/>
          <w:sz w:val="22"/>
          <w:szCs w:val="22"/>
        </w:rPr>
        <w:t>0.</w:t>
      </w:r>
      <w:r w:rsidR="009E2D3A" w:rsidRPr="009E2D3A">
        <w:rPr>
          <w:rFonts w:ascii="Arial" w:hAnsi="Arial" w:cs="Arial"/>
          <w:sz w:val="22"/>
          <w:szCs w:val="22"/>
        </w:rPr>
        <w:t>780</w:t>
      </w:r>
      <w:r w:rsidR="009E2D3A">
        <w:rPr>
          <w:rFonts w:ascii="Arial" w:hAnsi="Arial" w:cs="Arial"/>
          <w:sz w:val="22"/>
          <w:szCs w:val="22"/>
        </w:rPr>
        <w:t xml:space="preserve"> million</w:t>
      </w:r>
      <w:r w:rsidR="009E2D3A" w:rsidRPr="009E2D3A">
        <w:rPr>
          <w:rFonts w:ascii="Arial" w:hAnsi="Arial" w:cs="Arial"/>
          <w:sz w:val="22"/>
          <w:szCs w:val="22"/>
        </w:rPr>
        <w:t xml:space="preserve">. </w:t>
      </w:r>
      <w:r w:rsidR="009E2D3A">
        <w:rPr>
          <w:rFonts w:ascii="Arial" w:hAnsi="Arial" w:cs="Arial"/>
          <w:sz w:val="22"/>
          <w:szCs w:val="22"/>
        </w:rPr>
        <w:t xml:space="preserve"> </w:t>
      </w:r>
      <w:r w:rsidR="009E2D3A" w:rsidRPr="009E2D3A">
        <w:rPr>
          <w:rFonts w:ascii="Arial" w:hAnsi="Arial" w:cs="Arial"/>
          <w:sz w:val="22"/>
          <w:szCs w:val="22"/>
        </w:rPr>
        <w:t>The collection rate for 2014/15 has moved on from 9</w:t>
      </w:r>
      <w:r w:rsidR="009E2D3A">
        <w:rPr>
          <w:rFonts w:ascii="Arial" w:hAnsi="Arial" w:cs="Arial"/>
          <w:sz w:val="22"/>
          <w:szCs w:val="22"/>
        </w:rPr>
        <w:t>7</w:t>
      </w:r>
      <w:r w:rsidR="009E2D3A" w:rsidRPr="009E2D3A">
        <w:rPr>
          <w:rFonts w:ascii="Arial" w:hAnsi="Arial" w:cs="Arial"/>
          <w:sz w:val="22"/>
          <w:szCs w:val="22"/>
        </w:rPr>
        <w:t>.</w:t>
      </w:r>
      <w:r w:rsidR="009E2D3A">
        <w:rPr>
          <w:rFonts w:ascii="Arial" w:hAnsi="Arial" w:cs="Arial"/>
          <w:sz w:val="22"/>
          <w:szCs w:val="22"/>
        </w:rPr>
        <w:t>67</w:t>
      </w:r>
      <w:r w:rsidR="009E2D3A" w:rsidRPr="009E2D3A">
        <w:rPr>
          <w:rFonts w:ascii="Arial" w:hAnsi="Arial" w:cs="Arial"/>
          <w:sz w:val="22"/>
          <w:szCs w:val="22"/>
        </w:rPr>
        <w:t>% at the end of 2014/15 to 98.</w:t>
      </w:r>
      <w:r w:rsidR="00EC585D">
        <w:rPr>
          <w:rFonts w:ascii="Arial" w:hAnsi="Arial" w:cs="Arial"/>
          <w:sz w:val="22"/>
          <w:szCs w:val="22"/>
        </w:rPr>
        <w:t>10</w:t>
      </w:r>
      <w:r w:rsidR="009E2D3A" w:rsidRPr="009E2D3A">
        <w:rPr>
          <w:rFonts w:ascii="Arial" w:hAnsi="Arial" w:cs="Arial"/>
          <w:sz w:val="22"/>
          <w:szCs w:val="22"/>
        </w:rPr>
        <w:t>% three months later.</w:t>
      </w:r>
    </w:p>
    <w:p w:rsidR="00AF4C58" w:rsidRPr="00F310D2" w:rsidRDefault="00AF4C58" w:rsidP="00AF4C58">
      <w:pPr>
        <w:widowControl w:val="0"/>
        <w:autoSpaceDE w:val="0"/>
        <w:autoSpaceDN w:val="0"/>
        <w:adjustRightInd w:val="0"/>
        <w:rPr>
          <w:rFonts w:ascii="Arial" w:hAnsi="Arial" w:cs="Arial"/>
          <w:sz w:val="22"/>
          <w:szCs w:val="22"/>
        </w:rPr>
      </w:pPr>
    </w:p>
    <w:p w:rsidR="0053632C" w:rsidRPr="00F310D2" w:rsidRDefault="0053632C" w:rsidP="001D1E40">
      <w:pPr>
        <w:widowControl w:val="0"/>
        <w:autoSpaceDE w:val="0"/>
        <w:autoSpaceDN w:val="0"/>
        <w:adjustRightInd w:val="0"/>
        <w:spacing w:after="120"/>
        <w:ind w:left="709" w:hanging="425"/>
        <w:rPr>
          <w:rFonts w:ascii="Arial" w:hAnsi="Arial" w:cs="Arial"/>
          <w:b/>
          <w:bCs/>
          <w:color w:val="000000"/>
          <w:sz w:val="22"/>
          <w:szCs w:val="22"/>
          <w:u w:val="single"/>
        </w:rPr>
      </w:pPr>
      <w:r w:rsidRPr="00F310D2">
        <w:rPr>
          <w:rFonts w:ascii="Arial" w:hAnsi="Arial" w:cs="Arial"/>
          <w:b/>
          <w:bCs/>
          <w:color w:val="000000"/>
          <w:sz w:val="22"/>
          <w:szCs w:val="22"/>
        </w:rPr>
        <w:t>3.</w:t>
      </w:r>
      <w:r w:rsidRPr="00F310D2">
        <w:rPr>
          <w:rFonts w:ascii="Arial" w:hAnsi="Arial" w:cs="Arial"/>
          <w:b/>
          <w:bCs/>
          <w:color w:val="000000"/>
          <w:sz w:val="22"/>
          <w:szCs w:val="22"/>
        </w:rPr>
        <w:tab/>
      </w:r>
      <w:r w:rsidRPr="00F310D2">
        <w:rPr>
          <w:rFonts w:ascii="Arial" w:hAnsi="Arial" w:cs="Arial"/>
          <w:b/>
          <w:bCs/>
          <w:color w:val="000000"/>
          <w:sz w:val="22"/>
          <w:szCs w:val="22"/>
          <w:u w:val="single"/>
        </w:rPr>
        <w:t>Directorate Performance - Exceptions</w:t>
      </w:r>
    </w:p>
    <w:p w:rsidR="00ED43FB" w:rsidRDefault="00ED43FB" w:rsidP="00ED43FB">
      <w:pPr>
        <w:ind w:left="720"/>
        <w:rPr>
          <w:rFonts w:ascii="Arial" w:hAnsi="Arial" w:cs="Arial"/>
          <w:bCs/>
          <w:sz w:val="22"/>
          <w:szCs w:val="22"/>
        </w:rPr>
      </w:pPr>
    </w:p>
    <w:p w:rsidR="00820AEF" w:rsidRPr="005944E5" w:rsidRDefault="00820AEF" w:rsidP="00820AEF">
      <w:pPr>
        <w:widowControl w:val="0"/>
        <w:autoSpaceDE w:val="0"/>
        <w:autoSpaceDN w:val="0"/>
        <w:adjustRightInd w:val="0"/>
        <w:ind w:left="720" w:hanging="11"/>
        <w:rPr>
          <w:rFonts w:ascii="Arial" w:hAnsi="Arial" w:cs="Arial"/>
          <w:b/>
          <w:bCs/>
          <w:color w:val="000000"/>
          <w:sz w:val="22"/>
          <w:szCs w:val="22"/>
        </w:rPr>
      </w:pPr>
      <w:r w:rsidRPr="005944E5">
        <w:rPr>
          <w:rFonts w:ascii="Arial" w:hAnsi="Arial" w:cs="Arial"/>
          <w:b/>
          <w:bCs/>
          <w:color w:val="000000"/>
          <w:sz w:val="22"/>
          <w:szCs w:val="22"/>
        </w:rPr>
        <w:t>Organisational Development</w:t>
      </w:r>
    </w:p>
    <w:p w:rsidR="00820AEF" w:rsidRDefault="00820AEF" w:rsidP="00820AEF">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w:t>
      </w:r>
      <w:r w:rsidR="000F2A8B">
        <w:rPr>
          <w:rFonts w:ascii="Arial" w:hAnsi="Arial" w:cs="Arial"/>
          <w:bCs/>
          <w:color w:val="000000"/>
          <w:sz w:val="22"/>
          <w:szCs w:val="22"/>
        </w:rPr>
        <w:t>1</w:t>
      </w:r>
      <w:r>
        <w:rPr>
          <w:rFonts w:ascii="Arial" w:hAnsi="Arial" w:cs="Arial"/>
          <w:bCs/>
          <w:color w:val="000000"/>
          <w:sz w:val="22"/>
          <w:szCs w:val="22"/>
        </w:rPr>
        <w:tab/>
      </w:r>
      <w:r w:rsidR="0019275B">
        <w:rPr>
          <w:rFonts w:ascii="Arial" w:hAnsi="Arial" w:cs="Arial"/>
          <w:bCs/>
          <w:color w:val="000000"/>
          <w:sz w:val="22"/>
          <w:szCs w:val="22"/>
        </w:rPr>
        <w:t xml:space="preserve">Days lost to sickness </w:t>
      </w:r>
      <w:r w:rsidR="00952D03">
        <w:rPr>
          <w:rFonts w:ascii="Arial" w:hAnsi="Arial" w:cs="Arial"/>
          <w:bCs/>
          <w:color w:val="000000"/>
          <w:sz w:val="22"/>
          <w:szCs w:val="22"/>
        </w:rPr>
        <w:t xml:space="preserve">to June 2015 was at 1.52 days across the Council, just above the target of 1.50 days. </w:t>
      </w:r>
    </w:p>
    <w:p w:rsidR="0019275B" w:rsidRDefault="0019275B" w:rsidP="00820AEF">
      <w:pPr>
        <w:widowControl w:val="0"/>
        <w:autoSpaceDE w:val="0"/>
        <w:autoSpaceDN w:val="0"/>
        <w:adjustRightInd w:val="0"/>
        <w:ind w:left="720" w:hanging="436"/>
        <w:rPr>
          <w:rFonts w:ascii="Arial" w:hAnsi="Arial" w:cs="Arial"/>
          <w:bCs/>
          <w:color w:val="000000"/>
          <w:sz w:val="22"/>
          <w:szCs w:val="22"/>
        </w:rPr>
      </w:pPr>
    </w:p>
    <w:p w:rsidR="0019275B" w:rsidRDefault="0019275B" w:rsidP="00820AEF">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w:t>
      </w:r>
      <w:r w:rsidR="000F2A8B">
        <w:rPr>
          <w:rFonts w:ascii="Arial" w:hAnsi="Arial" w:cs="Arial"/>
          <w:bCs/>
          <w:color w:val="000000"/>
          <w:sz w:val="22"/>
          <w:szCs w:val="22"/>
        </w:rPr>
        <w:t>2</w:t>
      </w:r>
      <w:r>
        <w:rPr>
          <w:rFonts w:ascii="Arial" w:hAnsi="Arial" w:cs="Arial"/>
          <w:bCs/>
          <w:color w:val="000000"/>
          <w:sz w:val="22"/>
          <w:szCs w:val="22"/>
        </w:rPr>
        <w:tab/>
        <w:t xml:space="preserve">Percentage of employees with a disability – </w:t>
      </w:r>
      <w:r w:rsidR="00952D03">
        <w:rPr>
          <w:rFonts w:ascii="Arial" w:hAnsi="Arial" w:cs="Arial"/>
          <w:bCs/>
          <w:color w:val="000000"/>
          <w:sz w:val="22"/>
          <w:szCs w:val="22"/>
        </w:rPr>
        <w:t xml:space="preserve">At June 2015, 8.72% of staff </w:t>
      </w:r>
      <w:proofErr w:type="gramStart"/>
      <w:r w:rsidR="00952D03">
        <w:rPr>
          <w:rFonts w:ascii="Arial" w:hAnsi="Arial" w:cs="Arial"/>
          <w:bCs/>
          <w:color w:val="000000"/>
          <w:sz w:val="22"/>
          <w:szCs w:val="22"/>
        </w:rPr>
        <w:t>were</w:t>
      </w:r>
      <w:proofErr w:type="gramEnd"/>
      <w:r w:rsidR="00952D03">
        <w:rPr>
          <w:rFonts w:ascii="Arial" w:hAnsi="Arial" w:cs="Arial"/>
          <w:bCs/>
          <w:color w:val="000000"/>
          <w:sz w:val="22"/>
          <w:szCs w:val="22"/>
        </w:rPr>
        <w:t xml:space="preserve"> identified as having a disability, </w:t>
      </w:r>
      <w:r w:rsidR="00952D03">
        <w:rPr>
          <w:rFonts w:ascii="Arial" w:hAnsi="Arial" w:cs="Arial"/>
          <w:bCs/>
          <w:color w:val="000000"/>
          <w:sz w:val="22"/>
          <w:szCs w:val="22"/>
        </w:rPr>
        <w:lastRenderedPageBreak/>
        <w:t xml:space="preserve">against a target of 10%. </w:t>
      </w:r>
      <w:r w:rsidR="00952D03" w:rsidRPr="00952D03">
        <w:rPr>
          <w:rFonts w:ascii="Arial" w:hAnsi="Arial" w:cs="Arial"/>
          <w:bCs/>
          <w:color w:val="000000"/>
          <w:sz w:val="22"/>
          <w:szCs w:val="22"/>
        </w:rPr>
        <w:t>Staff numbers have remained stable at around/ close to this figure for a number of months. The Council recently hosted a series of workshops with external partners such as Restore based on workplace resilience and will be piloting disability awareness sessions for customer services in August. HR will be exploring ways of developing a workplace pilot for work experience for people with disabilities</w:t>
      </w:r>
    </w:p>
    <w:p w:rsidR="0019275B" w:rsidRDefault="0019275B" w:rsidP="00820AEF">
      <w:pPr>
        <w:widowControl w:val="0"/>
        <w:autoSpaceDE w:val="0"/>
        <w:autoSpaceDN w:val="0"/>
        <w:adjustRightInd w:val="0"/>
        <w:ind w:left="720" w:hanging="436"/>
        <w:rPr>
          <w:rFonts w:ascii="Arial" w:hAnsi="Arial" w:cs="Arial"/>
          <w:bCs/>
          <w:color w:val="000000"/>
          <w:sz w:val="22"/>
          <w:szCs w:val="22"/>
        </w:rPr>
      </w:pPr>
    </w:p>
    <w:p w:rsidR="0019275B" w:rsidRPr="00F310D2" w:rsidRDefault="0019275B" w:rsidP="00952D03">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w:t>
      </w:r>
      <w:r w:rsidR="000F2A8B">
        <w:rPr>
          <w:rFonts w:ascii="Arial" w:hAnsi="Arial" w:cs="Arial"/>
          <w:bCs/>
          <w:color w:val="000000"/>
          <w:sz w:val="22"/>
          <w:szCs w:val="22"/>
        </w:rPr>
        <w:t>3</w:t>
      </w:r>
      <w:r>
        <w:rPr>
          <w:rFonts w:ascii="Arial" w:hAnsi="Arial" w:cs="Arial"/>
          <w:bCs/>
          <w:color w:val="000000"/>
          <w:sz w:val="22"/>
          <w:szCs w:val="22"/>
        </w:rPr>
        <w:tab/>
        <w:t xml:space="preserve">Percentage of black and ethnic minority employees </w:t>
      </w:r>
      <w:r w:rsidR="00952D03">
        <w:rPr>
          <w:rFonts w:ascii="Arial" w:hAnsi="Arial" w:cs="Arial"/>
          <w:bCs/>
          <w:color w:val="000000"/>
          <w:sz w:val="22"/>
          <w:szCs w:val="22"/>
        </w:rPr>
        <w:t>–</w:t>
      </w:r>
      <w:r>
        <w:rPr>
          <w:rFonts w:ascii="Arial" w:hAnsi="Arial" w:cs="Arial"/>
          <w:bCs/>
          <w:color w:val="000000"/>
          <w:sz w:val="22"/>
          <w:szCs w:val="22"/>
        </w:rPr>
        <w:t xml:space="preserve"> </w:t>
      </w:r>
      <w:r w:rsidR="00952D03">
        <w:rPr>
          <w:rFonts w:ascii="Arial" w:hAnsi="Arial" w:cs="Arial"/>
          <w:bCs/>
          <w:color w:val="000000"/>
          <w:sz w:val="22"/>
          <w:szCs w:val="22"/>
        </w:rPr>
        <w:t xml:space="preserve">At June 2015, 7.4% of staff </w:t>
      </w:r>
      <w:proofErr w:type="gramStart"/>
      <w:r w:rsidR="00952D03">
        <w:rPr>
          <w:rFonts w:ascii="Arial" w:hAnsi="Arial" w:cs="Arial"/>
          <w:bCs/>
          <w:color w:val="000000"/>
          <w:sz w:val="22"/>
          <w:szCs w:val="22"/>
        </w:rPr>
        <w:t>were</w:t>
      </w:r>
      <w:proofErr w:type="gramEnd"/>
      <w:r w:rsidR="00952D03">
        <w:rPr>
          <w:rFonts w:ascii="Arial" w:hAnsi="Arial" w:cs="Arial"/>
          <w:bCs/>
          <w:color w:val="000000"/>
          <w:sz w:val="22"/>
          <w:szCs w:val="22"/>
        </w:rPr>
        <w:t xml:space="preserve"> from target communities, compared to a target of 9.0%. </w:t>
      </w:r>
      <w:r w:rsidR="00952D03" w:rsidRPr="00952D03">
        <w:rPr>
          <w:rFonts w:ascii="Arial" w:hAnsi="Arial" w:cs="Arial"/>
          <w:bCs/>
          <w:color w:val="000000"/>
          <w:sz w:val="22"/>
          <w:szCs w:val="22"/>
        </w:rPr>
        <w:t xml:space="preserve">Numbers </w:t>
      </w:r>
      <w:r w:rsidR="00952D03">
        <w:rPr>
          <w:rFonts w:ascii="Arial" w:hAnsi="Arial" w:cs="Arial"/>
          <w:bCs/>
          <w:color w:val="000000"/>
          <w:sz w:val="22"/>
          <w:szCs w:val="22"/>
        </w:rPr>
        <w:t>remain</w:t>
      </w:r>
      <w:r w:rsidR="00952D03" w:rsidRPr="00952D03">
        <w:rPr>
          <w:rFonts w:ascii="Arial" w:hAnsi="Arial" w:cs="Arial"/>
          <w:bCs/>
          <w:color w:val="000000"/>
          <w:sz w:val="22"/>
          <w:szCs w:val="22"/>
        </w:rPr>
        <w:t xml:space="preserve"> relatively stable</w:t>
      </w:r>
      <w:r w:rsidR="00952D03">
        <w:rPr>
          <w:rFonts w:ascii="Arial" w:hAnsi="Arial" w:cs="Arial"/>
          <w:bCs/>
          <w:color w:val="000000"/>
          <w:sz w:val="22"/>
          <w:szCs w:val="22"/>
        </w:rPr>
        <w:t>.</w:t>
      </w:r>
      <w:r w:rsidR="00952D03" w:rsidRPr="00952D03">
        <w:rPr>
          <w:rFonts w:ascii="Arial" w:hAnsi="Arial" w:cs="Arial"/>
          <w:bCs/>
          <w:color w:val="000000"/>
          <w:sz w:val="22"/>
          <w:szCs w:val="22"/>
        </w:rPr>
        <w:t xml:space="preserve"> HR are planning two BME focus groups/ external community engagement workshops in the autumn to sell the benefits of working for the council and to pick up views on any perceived barriers to applying/ working here. </w:t>
      </w:r>
      <w:r w:rsidR="00952D03">
        <w:rPr>
          <w:rFonts w:ascii="Arial" w:hAnsi="Arial" w:cs="Arial"/>
          <w:bCs/>
          <w:color w:val="000000"/>
          <w:sz w:val="22"/>
          <w:szCs w:val="22"/>
        </w:rPr>
        <w:t xml:space="preserve">An internally focused action plan will be drawn up to progress improvements. </w:t>
      </w:r>
    </w:p>
    <w:p w:rsidR="00820AEF" w:rsidRDefault="00820AEF" w:rsidP="00820AEF">
      <w:pPr>
        <w:widowControl w:val="0"/>
        <w:autoSpaceDE w:val="0"/>
        <w:autoSpaceDN w:val="0"/>
        <w:adjustRightInd w:val="0"/>
        <w:ind w:left="720" w:hanging="11"/>
        <w:rPr>
          <w:rFonts w:ascii="Arial" w:hAnsi="Arial" w:cs="Arial"/>
          <w:bCs/>
          <w:color w:val="000000"/>
          <w:sz w:val="22"/>
          <w:szCs w:val="22"/>
        </w:rPr>
      </w:pPr>
    </w:p>
    <w:p w:rsidR="00820AEF" w:rsidRPr="00F310D2" w:rsidRDefault="00820AEF" w:rsidP="00820AEF">
      <w:pPr>
        <w:widowControl w:val="0"/>
        <w:autoSpaceDE w:val="0"/>
        <w:autoSpaceDN w:val="0"/>
        <w:adjustRightInd w:val="0"/>
        <w:ind w:left="709"/>
        <w:rPr>
          <w:rFonts w:ascii="Arial" w:hAnsi="Arial" w:cs="Arial"/>
          <w:b/>
          <w:bCs/>
          <w:color w:val="000000"/>
          <w:sz w:val="22"/>
          <w:szCs w:val="22"/>
        </w:rPr>
      </w:pPr>
      <w:r w:rsidRPr="00F310D2">
        <w:rPr>
          <w:rFonts w:ascii="Arial" w:hAnsi="Arial" w:cs="Arial"/>
          <w:b/>
          <w:bCs/>
          <w:color w:val="000000"/>
          <w:sz w:val="22"/>
          <w:szCs w:val="22"/>
        </w:rPr>
        <w:t>Financ</w:t>
      </w:r>
      <w:r>
        <w:rPr>
          <w:rFonts w:ascii="Arial" w:hAnsi="Arial" w:cs="Arial"/>
          <w:b/>
          <w:bCs/>
          <w:color w:val="000000"/>
          <w:sz w:val="22"/>
          <w:szCs w:val="22"/>
        </w:rPr>
        <w:t>ial Services</w:t>
      </w:r>
    </w:p>
    <w:p w:rsidR="00820AEF" w:rsidRDefault="00820AEF" w:rsidP="00820AEF">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w:t>
      </w:r>
      <w:r w:rsidR="000F2A8B">
        <w:rPr>
          <w:rFonts w:ascii="Arial" w:hAnsi="Arial" w:cs="Arial"/>
          <w:bCs/>
          <w:color w:val="000000"/>
          <w:sz w:val="22"/>
          <w:szCs w:val="22"/>
        </w:rPr>
        <w:t>4</w:t>
      </w:r>
      <w:r w:rsidRPr="00F310D2">
        <w:rPr>
          <w:rFonts w:ascii="Arial" w:hAnsi="Arial" w:cs="Arial"/>
          <w:bCs/>
          <w:color w:val="000000"/>
          <w:sz w:val="22"/>
          <w:szCs w:val="22"/>
        </w:rPr>
        <w:tab/>
      </w:r>
      <w:r w:rsidR="0019275B">
        <w:rPr>
          <w:rFonts w:ascii="Arial" w:hAnsi="Arial" w:cs="Arial"/>
          <w:bCs/>
          <w:color w:val="000000"/>
          <w:sz w:val="22"/>
          <w:szCs w:val="22"/>
        </w:rPr>
        <w:t>Percentage of rent collected –</w:t>
      </w:r>
      <w:r w:rsidR="00B21401">
        <w:rPr>
          <w:rFonts w:ascii="Arial" w:hAnsi="Arial" w:cs="Arial"/>
          <w:bCs/>
          <w:color w:val="000000"/>
          <w:sz w:val="22"/>
          <w:szCs w:val="22"/>
        </w:rPr>
        <w:t xml:space="preserve"> </w:t>
      </w:r>
      <w:r w:rsidR="00952D03">
        <w:rPr>
          <w:rFonts w:ascii="Arial" w:hAnsi="Arial" w:cs="Arial"/>
          <w:bCs/>
          <w:color w:val="000000"/>
          <w:sz w:val="22"/>
          <w:szCs w:val="22"/>
        </w:rPr>
        <w:t xml:space="preserve">91.77% for June 2015 was marginally below the year to date target of 92.50%. </w:t>
      </w:r>
    </w:p>
    <w:p w:rsidR="0019275B" w:rsidRDefault="0019275B" w:rsidP="00820AEF">
      <w:pPr>
        <w:widowControl w:val="0"/>
        <w:autoSpaceDE w:val="0"/>
        <w:autoSpaceDN w:val="0"/>
        <w:adjustRightInd w:val="0"/>
        <w:ind w:left="720" w:hanging="436"/>
        <w:rPr>
          <w:rFonts w:ascii="Arial" w:hAnsi="Arial" w:cs="Arial"/>
          <w:bCs/>
          <w:color w:val="000000"/>
          <w:sz w:val="22"/>
          <w:szCs w:val="22"/>
        </w:rPr>
      </w:pPr>
    </w:p>
    <w:p w:rsidR="0019275B" w:rsidRDefault="0019275B" w:rsidP="00820AEF">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w:t>
      </w:r>
      <w:r w:rsidR="000F2A8B">
        <w:rPr>
          <w:rFonts w:ascii="Arial" w:hAnsi="Arial" w:cs="Arial"/>
          <w:bCs/>
          <w:color w:val="000000"/>
          <w:sz w:val="22"/>
          <w:szCs w:val="22"/>
        </w:rPr>
        <w:t>5</w:t>
      </w:r>
      <w:r>
        <w:rPr>
          <w:rFonts w:ascii="Arial" w:hAnsi="Arial" w:cs="Arial"/>
          <w:bCs/>
          <w:color w:val="000000"/>
          <w:sz w:val="22"/>
          <w:szCs w:val="22"/>
        </w:rPr>
        <w:tab/>
        <w:t xml:space="preserve">Percentage of invoices paid on time – </w:t>
      </w:r>
      <w:r w:rsidR="00952D03">
        <w:rPr>
          <w:rFonts w:ascii="Arial" w:hAnsi="Arial" w:cs="Arial"/>
          <w:bCs/>
          <w:color w:val="000000"/>
          <w:sz w:val="22"/>
          <w:szCs w:val="22"/>
        </w:rPr>
        <w:t xml:space="preserve">Currently 85.20% of invoices are being paid on time compared to the target of 98%. </w:t>
      </w:r>
      <w:r w:rsidR="00EF2E12">
        <w:rPr>
          <w:rFonts w:ascii="Arial" w:hAnsi="Arial" w:cs="Arial"/>
          <w:bCs/>
          <w:color w:val="000000"/>
          <w:sz w:val="22"/>
          <w:szCs w:val="22"/>
        </w:rPr>
        <w:t>Financial Services staff will be working with service managers to deliver improvements in this area for future months.</w:t>
      </w:r>
    </w:p>
    <w:p w:rsidR="0019275B" w:rsidRDefault="0019275B" w:rsidP="00820AEF">
      <w:pPr>
        <w:widowControl w:val="0"/>
        <w:autoSpaceDE w:val="0"/>
        <w:autoSpaceDN w:val="0"/>
        <w:adjustRightInd w:val="0"/>
        <w:ind w:left="720" w:hanging="436"/>
        <w:rPr>
          <w:rFonts w:ascii="Arial" w:hAnsi="Arial" w:cs="Arial"/>
          <w:bCs/>
          <w:color w:val="000000"/>
          <w:sz w:val="22"/>
          <w:szCs w:val="22"/>
        </w:rPr>
      </w:pPr>
    </w:p>
    <w:p w:rsidR="0019275B" w:rsidRPr="00F310D2" w:rsidRDefault="0019275B" w:rsidP="00820AEF">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w:t>
      </w:r>
      <w:r w:rsidR="000F2A8B">
        <w:rPr>
          <w:rFonts w:ascii="Arial" w:hAnsi="Arial" w:cs="Arial"/>
          <w:bCs/>
          <w:color w:val="000000"/>
          <w:sz w:val="22"/>
          <w:szCs w:val="22"/>
        </w:rPr>
        <w:t>6</w:t>
      </w:r>
      <w:r>
        <w:rPr>
          <w:rFonts w:ascii="Arial" w:hAnsi="Arial" w:cs="Arial"/>
          <w:bCs/>
          <w:color w:val="000000"/>
          <w:sz w:val="22"/>
          <w:szCs w:val="22"/>
        </w:rPr>
        <w:tab/>
        <w:t xml:space="preserve">Time to process new benefits claims – </w:t>
      </w:r>
      <w:r w:rsidR="00952D03" w:rsidRPr="00952D03">
        <w:rPr>
          <w:rFonts w:ascii="Arial" w:hAnsi="Arial" w:cs="Arial"/>
          <w:bCs/>
          <w:color w:val="000000"/>
          <w:sz w:val="22"/>
          <w:szCs w:val="22"/>
        </w:rPr>
        <w:t>As at the end of June</w:t>
      </w:r>
      <w:r w:rsidR="00E11C47">
        <w:rPr>
          <w:rFonts w:ascii="Arial" w:hAnsi="Arial" w:cs="Arial"/>
          <w:bCs/>
          <w:color w:val="000000"/>
          <w:sz w:val="22"/>
          <w:szCs w:val="22"/>
        </w:rPr>
        <w:t>,</w:t>
      </w:r>
      <w:r w:rsidR="00952D03" w:rsidRPr="00952D03">
        <w:rPr>
          <w:rFonts w:ascii="Arial" w:hAnsi="Arial" w:cs="Arial"/>
          <w:bCs/>
          <w:color w:val="000000"/>
          <w:sz w:val="22"/>
          <w:szCs w:val="22"/>
        </w:rPr>
        <w:t xml:space="preserve"> 1,097 new applications for Housing benefit and Council Tax support had been processed in the current financial year. Average processing time was 15.66 days. This is over the t</w:t>
      </w:r>
      <w:r w:rsidR="00E11C47">
        <w:rPr>
          <w:rFonts w:ascii="Arial" w:hAnsi="Arial" w:cs="Arial"/>
          <w:bCs/>
          <w:color w:val="000000"/>
          <w:sz w:val="22"/>
          <w:szCs w:val="22"/>
        </w:rPr>
        <w:t>a</w:t>
      </w:r>
      <w:r w:rsidR="00952D03" w:rsidRPr="00952D03">
        <w:rPr>
          <w:rFonts w:ascii="Arial" w:hAnsi="Arial" w:cs="Arial"/>
          <w:bCs/>
          <w:color w:val="000000"/>
          <w:sz w:val="22"/>
          <w:szCs w:val="22"/>
        </w:rPr>
        <w:t>rget of 14 days and the situation will be closely monitored over the coming months.</w:t>
      </w:r>
    </w:p>
    <w:p w:rsidR="00820AEF" w:rsidRPr="00ED43FB" w:rsidRDefault="00820AEF" w:rsidP="00ED43FB">
      <w:pPr>
        <w:ind w:left="720"/>
        <w:rPr>
          <w:rFonts w:ascii="Arial" w:hAnsi="Arial" w:cs="Arial"/>
          <w:bCs/>
          <w:sz w:val="22"/>
          <w:szCs w:val="22"/>
        </w:rPr>
      </w:pPr>
    </w:p>
    <w:p w:rsidR="00820AEF" w:rsidRPr="00ED43FB" w:rsidRDefault="00820AEF" w:rsidP="00820AEF">
      <w:pPr>
        <w:ind w:left="720"/>
        <w:rPr>
          <w:rFonts w:ascii="Arial" w:hAnsi="Arial" w:cs="Arial"/>
          <w:bCs/>
          <w:sz w:val="22"/>
          <w:szCs w:val="22"/>
        </w:rPr>
      </w:pPr>
    </w:p>
    <w:p w:rsidR="0053632C" w:rsidRPr="00F310D2" w:rsidRDefault="0053632C" w:rsidP="001D1E40">
      <w:pPr>
        <w:widowControl w:val="0"/>
        <w:autoSpaceDE w:val="0"/>
        <w:autoSpaceDN w:val="0"/>
        <w:adjustRightInd w:val="0"/>
        <w:spacing w:after="120"/>
        <w:ind w:left="709" w:hanging="425"/>
        <w:rPr>
          <w:rFonts w:ascii="Arial" w:hAnsi="Arial" w:cs="Arial"/>
          <w:b/>
          <w:bCs/>
          <w:color w:val="000000"/>
          <w:sz w:val="22"/>
          <w:szCs w:val="22"/>
          <w:u w:val="single"/>
        </w:rPr>
      </w:pPr>
      <w:r w:rsidRPr="00F310D2">
        <w:rPr>
          <w:rFonts w:ascii="Arial" w:hAnsi="Arial" w:cs="Arial"/>
          <w:b/>
          <w:bCs/>
          <w:color w:val="000000"/>
          <w:sz w:val="22"/>
          <w:szCs w:val="22"/>
        </w:rPr>
        <w:t>4.</w:t>
      </w:r>
      <w:r w:rsidRPr="00F310D2">
        <w:rPr>
          <w:rFonts w:ascii="Arial" w:hAnsi="Arial" w:cs="Arial"/>
          <w:b/>
          <w:bCs/>
          <w:color w:val="000000"/>
          <w:sz w:val="22"/>
          <w:szCs w:val="22"/>
        </w:rPr>
        <w:tab/>
      </w:r>
      <w:r w:rsidR="008F3A4F" w:rsidRPr="00F310D2">
        <w:rPr>
          <w:rFonts w:ascii="Arial" w:hAnsi="Arial" w:cs="Arial"/>
          <w:b/>
          <w:bCs/>
          <w:color w:val="000000"/>
          <w:sz w:val="22"/>
          <w:szCs w:val="22"/>
          <w:u w:val="single"/>
        </w:rPr>
        <w:t>Risk Performance- Exceptions</w:t>
      </w:r>
    </w:p>
    <w:p w:rsidR="0053632C" w:rsidRPr="00F310D2" w:rsidRDefault="001D1E40" w:rsidP="00ED00A8">
      <w:pPr>
        <w:widowControl w:val="0"/>
        <w:autoSpaceDE w:val="0"/>
        <w:autoSpaceDN w:val="0"/>
        <w:adjustRightInd w:val="0"/>
        <w:ind w:left="709" w:hanging="425"/>
        <w:rPr>
          <w:rFonts w:ascii="Arial" w:hAnsi="Arial" w:cs="Arial"/>
          <w:bCs/>
          <w:color w:val="000000"/>
          <w:sz w:val="22"/>
          <w:szCs w:val="22"/>
        </w:rPr>
      </w:pPr>
      <w:r w:rsidRPr="00C513CE">
        <w:rPr>
          <w:rFonts w:ascii="Arial" w:hAnsi="Arial" w:cs="Arial"/>
          <w:bCs/>
          <w:color w:val="000000"/>
          <w:sz w:val="22"/>
          <w:szCs w:val="22"/>
        </w:rPr>
        <w:t>4.1</w:t>
      </w:r>
      <w:r w:rsidRPr="00C513CE">
        <w:rPr>
          <w:rFonts w:ascii="Arial" w:hAnsi="Arial" w:cs="Arial"/>
          <w:bCs/>
          <w:color w:val="000000"/>
          <w:sz w:val="22"/>
          <w:szCs w:val="22"/>
        </w:rPr>
        <w:tab/>
      </w:r>
      <w:r w:rsidR="0053632C" w:rsidRPr="00C513CE">
        <w:rPr>
          <w:rFonts w:ascii="Arial" w:hAnsi="Arial" w:cs="Arial"/>
          <w:bCs/>
          <w:color w:val="000000"/>
          <w:sz w:val="22"/>
          <w:szCs w:val="22"/>
        </w:rPr>
        <w:t>There are no red risks in th</w:t>
      </w:r>
      <w:r w:rsidR="00CE0F38" w:rsidRPr="00C513CE">
        <w:rPr>
          <w:rFonts w:ascii="Arial" w:hAnsi="Arial" w:cs="Arial"/>
          <w:bCs/>
          <w:color w:val="000000"/>
          <w:sz w:val="22"/>
          <w:szCs w:val="22"/>
        </w:rPr>
        <w:t>e</w:t>
      </w:r>
      <w:r w:rsidR="0053632C" w:rsidRPr="00C513CE">
        <w:rPr>
          <w:rFonts w:ascii="Arial" w:hAnsi="Arial" w:cs="Arial"/>
          <w:bCs/>
          <w:color w:val="000000"/>
          <w:sz w:val="22"/>
          <w:szCs w:val="22"/>
        </w:rPr>
        <w:t xml:space="preserve"> Directorate but there are </w:t>
      </w:r>
      <w:bookmarkStart w:id="0" w:name="_GoBack"/>
      <w:r w:rsidR="00C513CE" w:rsidRPr="00C513CE">
        <w:rPr>
          <w:rFonts w:ascii="Arial" w:hAnsi="Arial" w:cs="Arial"/>
          <w:bCs/>
          <w:color w:val="000000"/>
          <w:sz w:val="22"/>
          <w:szCs w:val="22"/>
        </w:rPr>
        <w:t>9</w:t>
      </w:r>
      <w:r w:rsidR="00C513CE" w:rsidRPr="00C513CE">
        <w:rPr>
          <w:rFonts w:ascii="Arial" w:hAnsi="Arial" w:cs="Arial"/>
          <w:bCs/>
          <w:color w:val="000000"/>
          <w:sz w:val="22"/>
          <w:szCs w:val="22"/>
        </w:rPr>
        <w:t xml:space="preserve"> </w:t>
      </w:r>
      <w:r w:rsidR="008F3A4F" w:rsidRPr="00C513CE">
        <w:rPr>
          <w:rFonts w:ascii="Arial" w:hAnsi="Arial" w:cs="Arial"/>
          <w:bCs/>
          <w:color w:val="000000"/>
          <w:sz w:val="22"/>
          <w:szCs w:val="22"/>
        </w:rPr>
        <w:t>amber risks</w:t>
      </w:r>
      <w:bookmarkEnd w:id="0"/>
      <w:r w:rsidRPr="00C513CE">
        <w:rPr>
          <w:rFonts w:ascii="Arial" w:hAnsi="Arial" w:cs="Arial"/>
          <w:bCs/>
          <w:color w:val="000000"/>
          <w:sz w:val="22"/>
          <w:szCs w:val="22"/>
        </w:rPr>
        <w:t xml:space="preserve"> detailed below</w:t>
      </w:r>
      <w:r w:rsidR="008F3A4F" w:rsidRPr="00C513CE">
        <w:rPr>
          <w:rFonts w:ascii="Arial" w:hAnsi="Arial" w:cs="Arial"/>
          <w:bCs/>
          <w:color w:val="000000"/>
          <w:sz w:val="22"/>
          <w:szCs w:val="22"/>
        </w:rPr>
        <w:t xml:space="preserve">. </w:t>
      </w:r>
      <w:r w:rsidRPr="00C513CE">
        <w:rPr>
          <w:rFonts w:ascii="Arial" w:hAnsi="Arial" w:cs="Arial"/>
          <w:bCs/>
          <w:color w:val="000000"/>
          <w:sz w:val="22"/>
          <w:szCs w:val="22"/>
        </w:rPr>
        <w:t>All these risks are</w:t>
      </w:r>
      <w:r w:rsidRPr="00F310D2">
        <w:rPr>
          <w:rFonts w:ascii="Arial" w:hAnsi="Arial" w:cs="Arial"/>
          <w:bCs/>
          <w:color w:val="000000"/>
          <w:sz w:val="22"/>
          <w:szCs w:val="22"/>
        </w:rPr>
        <w:t xml:space="preserve"> currently being managed as part of day to day business activity and are not currently expected to rise to a level of red risk.</w:t>
      </w:r>
    </w:p>
    <w:p w:rsidR="00ED00A8" w:rsidRDefault="00ED00A8" w:rsidP="00ED00A8">
      <w:pPr>
        <w:widowControl w:val="0"/>
        <w:autoSpaceDE w:val="0"/>
        <w:autoSpaceDN w:val="0"/>
        <w:adjustRightInd w:val="0"/>
        <w:ind w:left="709" w:hanging="425"/>
        <w:rPr>
          <w:rFonts w:ascii="Arial" w:hAnsi="Arial" w:cs="Arial"/>
          <w:bCs/>
          <w:color w:val="000000"/>
          <w:sz w:val="22"/>
          <w:szCs w:val="22"/>
        </w:rPr>
      </w:pPr>
    </w:p>
    <w:p w:rsidR="00820AEF" w:rsidRPr="005944E5" w:rsidRDefault="00820AEF" w:rsidP="00820AEF">
      <w:pPr>
        <w:widowControl w:val="0"/>
        <w:autoSpaceDE w:val="0"/>
        <w:autoSpaceDN w:val="0"/>
        <w:adjustRightInd w:val="0"/>
        <w:ind w:left="720" w:hanging="11"/>
        <w:rPr>
          <w:rFonts w:ascii="Arial" w:hAnsi="Arial" w:cs="Arial"/>
          <w:b/>
          <w:bCs/>
          <w:color w:val="000000"/>
          <w:sz w:val="22"/>
          <w:szCs w:val="22"/>
        </w:rPr>
      </w:pPr>
      <w:r w:rsidRPr="005944E5">
        <w:rPr>
          <w:rFonts w:ascii="Arial" w:hAnsi="Arial" w:cs="Arial"/>
          <w:b/>
          <w:bCs/>
          <w:color w:val="000000"/>
          <w:sz w:val="22"/>
          <w:szCs w:val="22"/>
        </w:rPr>
        <w:t>Business Improvement</w:t>
      </w:r>
    </w:p>
    <w:p w:rsidR="00820AEF" w:rsidRPr="00F310D2" w:rsidRDefault="000F2A8B" w:rsidP="00820AEF">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4.2</w:t>
      </w:r>
      <w:r w:rsidR="00820AEF">
        <w:rPr>
          <w:rFonts w:ascii="Arial" w:hAnsi="Arial" w:cs="Arial"/>
          <w:bCs/>
          <w:color w:val="000000"/>
          <w:sz w:val="22"/>
          <w:szCs w:val="22"/>
        </w:rPr>
        <w:tab/>
      </w:r>
      <w:r w:rsidR="00CD3D82">
        <w:rPr>
          <w:rFonts w:ascii="Arial" w:hAnsi="Arial" w:cs="Arial"/>
          <w:bCs/>
          <w:color w:val="000000"/>
          <w:sz w:val="22"/>
          <w:szCs w:val="22"/>
        </w:rPr>
        <w:t xml:space="preserve">Four </w:t>
      </w:r>
      <w:r w:rsidR="008A735F">
        <w:rPr>
          <w:rFonts w:ascii="Arial" w:hAnsi="Arial" w:cs="Arial"/>
          <w:bCs/>
          <w:color w:val="000000"/>
          <w:sz w:val="22"/>
          <w:szCs w:val="22"/>
        </w:rPr>
        <w:t xml:space="preserve">amber risks have been identified in this area relating to the volume of ICT projects, the lack of resources to ensure resilience in the contact centre, </w:t>
      </w:r>
      <w:r w:rsidR="00216285">
        <w:rPr>
          <w:rFonts w:ascii="Arial" w:hAnsi="Arial" w:cs="Arial"/>
          <w:bCs/>
          <w:color w:val="000000"/>
          <w:sz w:val="22"/>
          <w:szCs w:val="22"/>
        </w:rPr>
        <w:t>not achieving savings targets and potential data protection breaches.</w:t>
      </w:r>
    </w:p>
    <w:p w:rsidR="00820AEF" w:rsidRDefault="00820AEF" w:rsidP="00820AEF">
      <w:pPr>
        <w:widowControl w:val="0"/>
        <w:autoSpaceDE w:val="0"/>
        <w:autoSpaceDN w:val="0"/>
        <w:adjustRightInd w:val="0"/>
        <w:ind w:left="720" w:hanging="11"/>
        <w:rPr>
          <w:rFonts w:ascii="Arial" w:hAnsi="Arial" w:cs="Arial"/>
          <w:bCs/>
          <w:color w:val="000000"/>
          <w:sz w:val="22"/>
          <w:szCs w:val="22"/>
        </w:rPr>
      </w:pPr>
    </w:p>
    <w:p w:rsidR="00820AEF" w:rsidRPr="005944E5" w:rsidRDefault="00820AEF" w:rsidP="00820AEF">
      <w:pPr>
        <w:widowControl w:val="0"/>
        <w:autoSpaceDE w:val="0"/>
        <w:autoSpaceDN w:val="0"/>
        <w:adjustRightInd w:val="0"/>
        <w:ind w:left="720" w:hanging="11"/>
        <w:rPr>
          <w:rFonts w:ascii="Arial" w:hAnsi="Arial" w:cs="Arial"/>
          <w:b/>
          <w:bCs/>
          <w:color w:val="000000"/>
          <w:sz w:val="22"/>
          <w:szCs w:val="22"/>
        </w:rPr>
      </w:pPr>
      <w:r w:rsidRPr="005944E5">
        <w:rPr>
          <w:rFonts w:ascii="Arial" w:hAnsi="Arial" w:cs="Arial"/>
          <w:b/>
          <w:bCs/>
          <w:color w:val="000000"/>
          <w:sz w:val="22"/>
          <w:szCs w:val="22"/>
        </w:rPr>
        <w:t>Law and Governance</w:t>
      </w:r>
    </w:p>
    <w:p w:rsidR="00820AEF" w:rsidRPr="00F310D2" w:rsidRDefault="000F2A8B" w:rsidP="00820AEF">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4</w:t>
      </w:r>
      <w:r w:rsidR="00820AEF">
        <w:rPr>
          <w:rFonts w:ascii="Arial" w:hAnsi="Arial" w:cs="Arial"/>
          <w:bCs/>
          <w:color w:val="000000"/>
          <w:sz w:val="22"/>
          <w:szCs w:val="22"/>
        </w:rPr>
        <w:t>.</w:t>
      </w:r>
      <w:r>
        <w:rPr>
          <w:rFonts w:ascii="Arial" w:hAnsi="Arial" w:cs="Arial"/>
          <w:bCs/>
          <w:color w:val="000000"/>
          <w:sz w:val="22"/>
          <w:szCs w:val="22"/>
        </w:rPr>
        <w:t>3</w:t>
      </w:r>
      <w:r w:rsidR="00820AEF" w:rsidRPr="00F310D2">
        <w:rPr>
          <w:rFonts w:ascii="Arial" w:hAnsi="Arial" w:cs="Arial"/>
          <w:bCs/>
          <w:color w:val="000000"/>
          <w:sz w:val="22"/>
          <w:szCs w:val="22"/>
        </w:rPr>
        <w:tab/>
      </w:r>
      <w:r w:rsidR="00F512E8">
        <w:rPr>
          <w:rFonts w:ascii="Arial" w:hAnsi="Arial" w:cs="Arial"/>
          <w:bCs/>
          <w:color w:val="000000"/>
          <w:sz w:val="22"/>
          <w:szCs w:val="22"/>
        </w:rPr>
        <w:t>The amber risks identified in this area relat</w:t>
      </w:r>
      <w:r w:rsidR="009E2933">
        <w:rPr>
          <w:rFonts w:ascii="Arial" w:hAnsi="Arial" w:cs="Arial"/>
          <w:bCs/>
          <w:color w:val="000000"/>
          <w:sz w:val="22"/>
          <w:szCs w:val="22"/>
        </w:rPr>
        <w:t>e</w:t>
      </w:r>
      <w:r w:rsidR="00F512E8">
        <w:rPr>
          <w:rFonts w:ascii="Arial" w:hAnsi="Arial" w:cs="Arial"/>
          <w:bCs/>
          <w:color w:val="000000"/>
          <w:sz w:val="22"/>
          <w:szCs w:val="22"/>
        </w:rPr>
        <w:t xml:space="preserve"> to the resilience of the service, ensuring secure permanent safe keeping of city archives, ensuring the electoral register is accurate and </w:t>
      </w:r>
      <w:proofErr w:type="gramStart"/>
      <w:r w:rsidR="00F512E8">
        <w:rPr>
          <w:rFonts w:ascii="Arial" w:hAnsi="Arial" w:cs="Arial"/>
          <w:bCs/>
          <w:color w:val="000000"/>
          <w:sz w:val="22"/>
          <w:szCs w:val="22"/>
        </w:rPr>
        <w:t>complete,</w:t>
      </w:r>
      <w:proofErr w:type="gramEnd"/>
      <w:r w:rsidR="00F512E8">
        <w:rPr>
          <w:rFonts w:ascii="Arial" w:hAnsi="Arial" w:cs="Arial"/>
          <w:bCs/>
          <w:color w:val="000000"/>
          <w:sz w:val="22"/>
          <w:szCs w:val="22"/>
        </w:rPr>
        <w:t xml:space="preserve"> ICT support is sufficient and ensuring public safety at St Giles Fair.</w:t>
      </w:r>
    </w:p>
    <w:p w:rsidR="00820AEF" w:rsidRPr="00ED43FB" w:rsidRDefault="00820AEF" w:rsidP="00820AEF">
      <w:pPr>
        <w:ind w:left="720"/>
        <w:rPr>
          <w:rFonts w:ascii="Arial" w:hAnsi="Arial" w:cs="Arial"/>
          <w:bCs/>
          <w:sz w:val="22"/>
          <w:szCs w:val="22"/>
        </w:rPr>
      </w:pPr>
    </w:p>
    <w:sectPr w:rsidR="00820AEF" w:rsidRPr="00ED43FB" w:rsidSect="001D1E40">
      <w:pgSz w:w="12240" w:h="15840"/>
      <w:pgMar w:top="902" w:right="352" w:bottom="1440" w:left="3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68C"/>
    <w:multiLevelType w:val="hybridMultilevel"/>
    <w:tmpl w:val="E418F77C"/>
    <w:lvl w:ilvl="0" w:tplc="F3268140">
      <w:start w:val="1"/>
      <w:numFmt w:val="decimal"/>
      <w:lvlText w:val="%1."/>
      <w:lvlJc w:val="left"/>
      <w:pPr>
        <w:ind w:left="720" w:hanging="360"/>
      </w:pPr>
      <w:rPr>
        <w:rFonts w:cs="Times New Roman"/>
        <w:b w:val="0"/>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EA97B8F"/>
    <w:multiLevelType w:val="hybridMultilevel"/>
    <w:tmpl w:val="F3CC82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920588D"/>
    <w:multiLevelType w:val="hybridMultilevel"/>
    <w:tmpl w:val="D8FCB8EA"/>
    <w:lvl w:ilvl="0" w:tplc="57E0C02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CDB00BD"/>
    <w:multiLevelType w:val="hybridMultilevel"/>
    <w:tmpl w:val="0EC2AA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71F75B10"/>
    <w:multiLevelType w:val="hybridMultilevel"/>
    <w:tmpl w:val="8116C86E"/>
    <w:lvl w:ilvl="0" w:tplc="9DFE948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AE2070B"/>
    <w:multiLevelType w:val="multilevel"/>
    <w:tmpl w:val="C226C81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D9"/>
    <w:rsid w:val="000140AA"/>
    <w:rsid w:val="00024BA3"/>
    <w:rsid w:val="00044480"/>
    <w:rsid w:val="00074720"/>
    <w:rsid w:val="000809C1"/>
    <w:rsid w:val="000918ED"/>
    <w:rsid w:val="00095F35"/>
    <w:rsid w:val="000A1679"/>
    <w:rsid w:val="000B5207"/>
    <w:rsid w:val="000B6A0D"/>
    <w:rsid w:val="000B7E50"/>
    <w:rsid w:val="000C6D3D"/>
    <w:rsid w:val="000E404D"/>
    <w:rsid w:val="000E5074"/>
    <w:rsid w:val="000E7749"/>
    <w:rsid w:val="000F1F05"/>
    <w:rsid w:val="000F2A8B"/>
    <w:rsid w:val="00105E71"/>
    <w:rsid w:val="00107D99"/>
    <w:rsid w:val="001352CC"/>
    <w:rsid w:val="00145773"/>
    <w:rsid w:val="00147B32"/>
    <w:rsid w:val="00162DEB"/>
    <w:rsid w:val="001726FC"/>
    <w:rsid w:val="00181ED6"/>
    <w:rsid w:val="0018616C"/>
    <w:rsid w:val="00190940"/>
    <w:rsid w:val="0019275B"/>
    <w:rsid w:val="001D1E40"/>
    <w:rsid w:val="001F5A2E"/>
    <w:rsid w:val="00200393"/>
    <w:rsid w:val="00216285"/>
    <w:rsid w:val="0022744A"/>
    <w:rsid w:val="00244535"/>
    <w:rsid w:val="00273A05"/>
    <w:rsid w:val="002744FF"/>
    <w:rsid w:val="00281C5C"/>
    <w:rsid w:val="00286C12"/>
    <w:rsid w:val="002B0049"/>
    <w:rsid w:val="002C11CA"/>
    <w:rsid w:val="002C59BA"/>
    <w:rsid w:val="002E4AED"/>
    <w:rsid w:val="002E7746"/>
    <w:rsid w:val="002F04D1"/>
    <w:rsid w:val="00300284"/>
    <w:rsid w:val="00311108"/>
    <w:rsid w:val="003118E5"/>
    <w:rsid w:val="003179D7"/>
    <w:rsid w:val="0033277A"/>
    <w:rsid w:val="00341971"/>
    <w:rsid w:val="003547C1"/>
    <w:rsid w:val="00355579"/>
    <w:rsid w:val="00361BC3"/>
    <w:rsid w:val="0038411C"/>
    <w:rsid w:val="003B18B9"/>
    <w:rsid w:val="003B3364"/>
    <w:rsid w:val="00402D9A"/>
    <w:rsid w:val="00413E0F"/>
    <w:rsid w:val="00417E0E"/>
    <w:rsid w:val="004243D6"/>
    <w:rsid w:val="0045348B"/>
    <w:rsid w:val="004742C3"/>
    <w:rsid w:val="004804AD"/>
    <w:rsid w:val="00497B7E"/>
    <w:rsid w:val="004A6FEB"/>
    <w:rsid w:val="004C338A"/>
    <w:rsid w:val="004D5381"/>
    <w:rsid w:val="0052647B"/>
    <w:rsid w:val="0053632C"/>
    <w:rsid w:val="005757F5"/>
    <w:rsid w:val="0057799A"/>
    <w:rsid w:val="005944E5"/>
    <w:rsid w:val="00594D90"/>
    <w:rsid w:val="005E636A"/>
    <w:rsid w:val="006056AB"/>
    <w:rsid w:val="006108EE"/>
    <w:rsid w:val="006313C6"/>
    <w:rsid w:val="006449BA"/>
    <w:rsid w:val="00673817"/>
    <w:rsid w:val="00676F6B"/>
    <w:rsid w:val="00691D74"/>
    <w:rsid w:val="006A16D1"/>
    <w:rsid w:val="006A1B95"/>
    <w:rsid w:val="006C26CA"/>
    <w:rsid w:val="006D068A"/>
    <w:rsid w:val="006E1E0C"/>
    <w:rsid w:val="00703F4C"/>
    <w:rsid w:val="0070746F"/>
    <w:rsid w:val="00713EB9"/>
    <w:rsid w:val="007619BA"/>
    <w:rsid w:val="00763656"/>
    <w:rsid w:val="00765F02"/>
    <w:rsid w:val="00787F1B"/>
    <w:rsid w:val="007C33CD"/>
    <w:rsid w:val="007C5EFA"/>
    <w:rsid w:val="00820AEF"/>
    <w:rsid w:val="008256FE"/>
    <w:rsid w:val="008400CC"/>
    <w:rsid w:val="008409ED"/>
    <w:rsid w:val="00850BC1"/>
    <w:rsid w:val="0085719C"/>
    <w:rsid w:val="008648FA"/>
    <w:rsid w:val="00865AC3"/>
    <w:rsid w:val="0088341F"/>
    <w:rsid w:val="00887822"/>
    <w:rsid w:val="008A2EB0"/>
    <w:rsid w:val="008A389D"/>
    <w:rsid w:val="008A735F"/>
    <w:rsid w:val="008C283A"/>
    <w:rsid w:val="008F3A4F"/>
    <w:rsid w:val="00902D71"/>
    <w:rsid w:val="00935D80"/>
    <w:rsid w:val="00944D99"/>
    <w:rsid w:val="00952D03"/>
    <w:rsid w:val="00993D8F"/>
    <w:rsid w:val="00997A4D"/>
    <w:rsid w:val="009A35CE"/>
    <w:rsid w:val="009C254A"/>
    <w:rsid w:val="009C3CE1"/>
    <w:rsid w:val="009E2933"/>
    <w:rsid w:val="009E2D3A"/>
    <w:rsid w:val="00A24390"/>
    <w:rsid w:val="00A53D3D"/>
    <w:rsid w:val="00A5452E"/>
    <w:rsid w:val="00A55B18"/>
    <w:rsid w:val="00AC5CE0"/>
    <w:rsid w:val="00AE3733"/>
    <w:rsid w:val="00AF4C58"/>
    <w:rsid w:val="00B21401"/>
    <w:rsid w:val="00B22B82"/>
    <w:rsid w:val="00B23C1B"/>
    <w:rsid w:val="00B3071B"/>
    <w:rsid w:val="00B40F47"/>
    <w:rsid w:val="00B5219C"/>
    <w:rsid w:val="00B65C09"/>
    <w:rsid w:val="00B713F5"/>
    <w:rsid w:val="00B7307E"/>
    <w:rsid w:val="00B73D15"/>
    <w:rsid w:val="00B86C63"/>
    <w:rsid w:val="00BA3F26"/>
    <w:rsid w:val="00C513CE"/>
    <w:rsid w:val="00C63263"/>
    <w:rsid w:val="00C661EA"/>
    <w:rsid w:val="00C73B7E"/>
    <w:rsid w:val="00CD3D82"/>
    <w:rsid w:val="00CE0F38"/>
    <w:rsid w:val="00CE5763"/>
    <w:rsid w:val="00CF7751"/>
    <w:rsid w:val="00D014D9"/>
    <w:rsid w:val="00D07666"/>
    <w:rsid w:val="00D61C1D"/>
    <w:rsid w:val="00D7272C"/>
    <w:rsid w:val="00D87B68"/>
    <w:rsid w:val="00D97214"/>
    <w:rsid w:val="00D97B2E"/>
    <w:rsid w:val="00DA5006"/>
    <w:rsid w:val="00DA51CD"/>
    <w:rsid w:val="00DC02EF"/>
    <w:rsid w:val="00DF2321"/>
    <w:rsid w:val="00DF76CD"/>
    <w:rsid w:val="00E0265B"/>
    <w:rsid w:val="00E11C47"/>
    <w:rsid w:val="00E34F79"/>
    <w:rsid w:val="00E359BC"/>
    <w:rsid w:val="00E359E6"/>
    <w:rsid w:val="00E817D6"/>
    <w:rsid w:val="00EC585D"/>
    <w:rsid w:val="00EC5F6F"/>
    <w:rsid w:val="00ED00A8"/>
    <w:rsid w:val="00ED43FB"/>
    <w:rsid w:val="00ED75CE"/>
    <w:rsid w:val="00EF2E12"/>
    <w:rsid w:val="00F01CF8"/>
    <w:rsid w:val="00F02B66"/>
    <w:rsid w:val="00F310D2"/>
    <w:rsid w:val="00F42640"/>
    <w:rsid w:val="00F4542C"/>
    <w:rsid w:val="00F512E8"/>
    <w:rsid w:val="00F53BF8"/>
    <w:rsid w:val="00F544E6"/>
    <w:rsid w:val="00F64813"/>
    <w:rsid w:val="00F73EE4"/>
    <w:rsid w:val="00F80153"/>
    <w:rsid w:val="00F97231"/>
    <w:rsid w:val="00FA1031"/>
    <w:rsid w:val="00FA708B"/>
    <w:rsid w:val="00FB02A1"/>
    <w:rsid w:val="00FF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40F47"/>
    <w:rPr>
      <w:rFonts w:cs="Times New Roman"/>
      <w:sz w:val="16"/>
    </w:rPr>
  </w:style>
  <w:style w:type="paragraph" w:styleId="CommentText">
    <w:name w:val="annotation text"/>
    <w:basedOn w:val="Normal"/>
    <w:link w:val="CommentTextChar"/>
    <w:uiPriority w:val="99"/>
    <w:semiHidden/>
    <w:rsid w:val="00B40F47"/>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B40F47"/>
    <w:rPr>
      <w:rFonts w:ascii="Arial" w:hAnsi="Arial" w:cs="Times New Roman"/>
      <w:sz w:val="20"/>
      <w:szCs w:val="20"/>
      <w:lang w:val="x-none" w:eastAsia="en-US"/>
    </w:rPr>
  </w:style>
  <w:style w:type="paragraph" w:styleId="BalloonText">
    <w:name w:val="Balloon Text"/>
    <w:basedOn w:val="Normal"/>
    <w:link w:val="BalloonTextChar"/>
    <w:uiPriority w:val="99"/>
    <w:semiHidden/>
    <w:unhideWhenUsed/>
    <w:rsid w:val="00B40F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F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0F47"/>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B40F47"/>
    <w:rPr>
      <w:rFonts w:ascii="Arial" w:hAnsi="Arial"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40F47"/>
    <w:rPr>
      <w:rFonts w:cs="Times New Roman"/>
      <w:sz w:val="16"/>
    </w:rPr>
  </w:style>
  <w:style w:type="paragraph" w:styleId="CommentText">
    <w:name w:val="annotation text"/>
    <w:basedOn w:val="Normal"/>
    <w:link w:val="CommentTextChar"/>
    <w:uiPriority w:val="99"/>
    <w:semiHidden/>
    <w:rsid w:val="00B40F47"/>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B40F47"/>
    <w:rPr>
      <w:rFonts w:ascii="Arial" w:hAnsi="Arial" w:cs="Times New Roman"/>
      <w:sz w:val="20"/>
      <w:szCs w:val="20"/>
      <w:lang w:val="x-none" w:eastAsia="en-US"/>
    </w:rPr>
  </w:style>
  <w:style w:type="paragraph" w:styleId="BalloonText">
    <w:name w:val="Balloon Text"/>
    <w:basedOn w:val="Normal"/>
    <w:link w:val="BalloonTextChar"/>
    <w:uiPriority w:val="99"/>
    <w:semiHidden/>
    <w:unhideWhenUsed/>
    <w:rsid w:val="00B40F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F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0F47"/>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B40F47"/>
    <w:rPr>
      <w:rFonts w:ascii="Arial" w:hAnsi="Arial"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1982154A</Template>
  <TotalTime>12</TotalTime>
  <Pages>4</Pages>
  <Words>1051</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Bill Lewis</cp:lastModifiedBy>
  <cp:revision>6</cp:revision>
  <cp:lastPrinted>2015-07-29T08:12:00Z</cp:lastPrinted>
  <dcterms:created xsi:type="dcterms:W3CDTF">2015-08-06T12:53:00Z</dcterms:created>
  <dcterms:modified xsi:type="dcterms:W3CDTF">2015-08-07T07:28:00Z</dcterms:modified>
</cp:coreProperties>
</file>